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E42F9E">
      <w:pPr>
        <w:keepNext w:val="0"/>
        <w:keepLines w:val="0"/>
        <w:pageBreakBefore w:val="0"/>
        <w:kinsoku/>
        <w:wordWrap/>
        <w:overflowPunct/>
        <w:topLinePunct w:val="0"/>
        <w:autoSpaceDE/>
        <w:autoSpaceDN/>
        <w:bidi w:val="0"/>
        <w:adjustRightInd/>
        <w:snapToGrid/>
        <w:jc w:val="both"/>
        <w:textAlignment w:val="auto"/>
        <w:rPr>
          <w:rFonts w:hint="default" w:ascii="Times New Roman" w:hAnsi="Times New Roman" w:eastAsia="黑体" w:cs="Times New Roman"/>
          <w:b w:val="0"/>
          <w:bCs/>
          <w:snapToGrid/>
          <w:color w:val="auto"/>
          <w:spacing w:val="0"/>
          <w:w w:val="100"/>
          <w:kern w:val="0"/>
          <w:position w:val="0"/>
          <w:sz w:val="32"/>
          <w:szCs w:val="32"/>
          <w:u w:val="none" w:color="auto"/>
          <w:vertAlign w:val="baseline"/>
          <w:lang w:val="en-US" w:eastAsia="zh-CN"/>
        </w:rPr>
      </w:pPr>
      <w:r>
        <w:rPr>
          <w:rFonts w:hint="default" w:ascii="Times New Roman" w:hAnsi="Times New Roman" w:eastAsia="黑体" w:cs="Times New Roman"/>
          <w:b w:val="0"/>
          <w:bCs/>
          <w:snapToGrid/>
          <w:color w:val="auto"/>
          <w:spacing w:val="0"/>
          <w:w w:val="100"/>
          <w:kern w:val="0"/>
          <w:position w:val="0"/>
          <w:sz w:val="32"/>
          <w:szCs w:val="32"/>
          <w:u w:val="none" w:color="auto"/>
          <w:vertAlign w:val="baseline"/>
          <w:lang w:val="en-US" w:eastAsia="zh-CN"/>
        </w:rPr>
        <w:t>附件1</w:t>
      </w:r>
    </w:p>
    <w:p w14:paraId="09BBD398">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简体" w:cs="Times New Roman"/>
          <w:kern w:val="0"/>
          <w:sz w:val="44"/>
          <w:szCs w:val="44"/>
          <w:lang w:val="en-US" w:eastAsia="zh-CN" w:bidi="ar"/>
        </w:rPr>
      </w:pPr>
      <w:r>
        <w:rPr>
          <w:rFonts w:hint="default" w:ascii="Times New Roman" w:hAnsi="Times New Roman" w:eastAsia="方正小标宋简体" w:cs="Times New Roman"/>
          <w:kern w:val="0"/>
          <w:sz w:val="44"/>
          <w:szCs w:val="44"/>
          <w:lang w:val="en-US" w:eastAsia="zh-CN" w:bidi="ar"/>
        </w:rPr>
        <w:t>2026年广西社科界智库重点课题选题</w:t>
      </w:r>
    </w:p>
    <w:p w14:paraId="217D2746">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简体" w:cs="Times New Roman"/>
          <w:b/>
          <w:snapToGrid/>
          <w:color w:val="auto"/>
          <w:spacing w:val="0"/>
          <w:w w:val="100"/>
          <w:kern w:val="0"/>
          <w:position w:val="0"/>
          <w:sz w:val="44"/>
          <w:szCs w:val="44"/>
          <w:u w:val="none" w:color="auto"/>
          <w:vertAlign w:val="baseline"/>
          <w:lang w:val="en-US" w:eastAsia="zh-CN"/>
        </w:rPr>
      </w:pPr>
      <w:r>
        <w:rPr>
          <w:rFonts w:hint="default" w:ascii="Times New Roman" w:hAnsi="Times New Roman" w:eastAsia="方正小标宋简体" w:cs="Times New Roman"/>
          <w:kern w:val="0"/>
          <w:sz w:val="44"/>
          <w:szCs w:val="44"/>
          <w:lang w:val="en-US" w:eastAsia="zh-CN" w:bidi="ar"/>
        </w:rPr>
        <w:t>参考目录</w:t>
      </w:r>
    </w:p>
    <w:p w14:paraId="68E637AE">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70" w:lineRule="exact"/>
        <w:ind w:firstLine="640" w:firstLineChars="200"/>
        <w:textAlignment w:val="auto"/>
        <w:rPr>
          <w:rFonts w:hint="default" w:ascii="Times New Roman" w:hAnsi="Times New Roman" w:eastAsia="黑体" w:cs="Times New Roman"/>
          <w:b w:val="0"/>
          <w:bCs/>
          <w:sz w:val="32"/>
          <w:szCs w:val="32"/>
        </w:rPr>
      </w:pPr>
    </w:p>
    <w:p w14:paraId="3BBFE011">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70" w:lineRule="exact"/>
        <w:ind w:firstLine="640" w:firstLineChars="200"/>
        <w:textAlignment w:val="auto"/>
        <w:rPr>
          <w:rFonts w:hint="default" w:ascii="Times New Roman" w:hAnsi="Times New Roman" w:eastAsia="黑体" w:cs="Times New Roman"/>
          <w:b w:val="0"/>
          <w:bCs/>
          <w:color w:val="000000"/>
          <w:sz w:val="32"/>
          <w:szCs w:val="32"/>
        </w:rPr>
      </w:pPr>
      <w:r>
        <w:rPr>
          <w:rFonts w:hint="default" w:ascii="Times New Roman" w:hAnsi="Times New Roman" w:eastAsia="黑体" w:cs="Times New Roman"/>
          <w:b w:val="0"/>
          <w:bCs/>
          <w:color w:val="000000"/>
          <w:sz w:val="32"/>
          <w:szCs w:val="32"/>
        </w:rPr>
        <w:t>一、</w:t>
      </w:r>
      <w:r>
        <w:rPr>
          <w:rFonts w:hint="default" w:ascii="Times New Roman" w:hAnsi="Times New Roman" w:eastAsia="黑体" w:cs="Times New Roman"/>
          <w:b w:val="0"/>
          <w:bCs/>
          <w:color w:val="000000"/>
          <w:sz w:val="32"/>
          <w:szCs w:val="32"/>
          <w:lang w:val="en-US" w:eastAsia="zh-CN"/>
        </w:rPr>
        <w:t>党的创新理论研究</w:t>
      </w:r>
      <w:r>
        <w:rPr>
          <w:rFonts w:hint="default" w:ascii="Times New Roman" w:hAnsi="Times New Roman" w:eastAsia="黑体" w:cs="Times New Roman"/>
          <w:b w:val="0"/>
          <w:bCs/>
          <w:color w:val="000000"/>
          <w:sz w:val="32"/>
          <w:szCs w:val="32"/>
        </w:rPr>
        <w:t>（1-</w:t>
      </w:r>
      <w:r>
        <w:rPr>
          <w:rFonts w:hint="default" w:ascii="Times New Roman" w:hAnsi="Times New Roman" w:eastAsia="黑体" w:cs="Times New Roman"/>
          <w:b w:val="0"/>
          <w:bCs/>
          <w:color w:val="000000"/>
          <w:sz w:val="32"/>
          <w:szCs w:val="32"/>
          <w:lang w:val="en-US" w:eastAsia="zh-CN"/>
        </w:rPr>
        <w:t>4</w:t>
      </w:r>
      <w:r>
        <w:rPr>
          <w:rFonts w:hint="default" w:ascii="Times New Roman" w:hAnsi="Times New Roman" w:eastAsia="黑体" w:cs="Times New Roman"/>
          <w:b w:val="0"/>
          <w:bCs/>
          <w:color w:val="000000"/>
          <w:sz w:val="32"/>
          <w:szCs w:val="32"/>
        </w:rPr>
        <w:t>）</w:t>
      </w:r>
      <w:bookmarkStart w:id="0" w:name="_GoBack"/>
      <w:bookmarkEnd w:id="0"/>
    </w:p>
    <w:p w14:paraId="4FD140E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1.习近平文化思想的理论创新与实践创新研究</w:t>
      </w:r>
    </w:p>
    <w:p w14:paraId="6EE2E1D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2.唯物史观视域下“人类文明新形态”研究</w:t>
      </w:r>
    </w:p>
    <w:p w14:paraId="019EDD7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3.“投资于人”与“投资于物”相结合的广西实践研究</w:t>
      </w:r>
    </w:p>
    <w:p w14:paraId="0050298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4.广西树立和践行正确政绩观问题与对策研究</w:t>
      </w:r>
    </w:p>
    <w:p w14:paraId="57EDF672">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70" w:lineRule="exact"/>
        <w:ind w:firstLine="640" w:firstLineChars="200"/>
        <w:textAlignment w:val="auto"/>
        <w:rPr>
          <w:rFonts w:hint="default" w:ascii="Times New Roman" w:hAnsi="Times New Roman" w:eastAsia="黑体" w:cs="Times New Roman"/>
          <w:b w:val="0"/>
          <w:bCs/>
          <w:color w:val="000000"/>
          <w:sz w:val="32"/>
          <w:szCs w:val="32"/>
        </w:rPr>
      </w:pPr>
      <w:r>
        <w:rPr>
          <w:rFonts w:hint="default" w:ascii="Times New Roman" w:hAnsi="Times New Roman" w:eastAsia="黑体" w:cs="Times New Roman"/>
          <w:b w:val="0"/>
          <w:bCs/>
          <w:color w:val="000000"/>
          <w:sz w:val="32"/>
          <w:szCs w:val="32"/>
          <w:lang w:val="en-US" w:eastAsia="zh-CN"/>
        </w:rPr>
        <w:t>二</w:t>
      </w:r>
      <w:r>
        <w:rPr>
          <w:rFonts w:hint="default" w:ascii="Times New Roman" w:hAnsi="Times New Roman" w:eastAsia="黑体" w:cs="Times New Roman"/>
          <w:b w:val="0"/>
          <w:bCs/>
          <w:color w:val="000000"/>
          <w:sz w:val="32"/>
          <w:szCs w:val="32"/>
        </w:rPr>
        <w:t>、文化软实力与文化遗产（</w:t>
      </w:r>
      <w:r>
        <w:rPr>
          <w:rFonts w:hint="default" w:ascii="Times New Roman" w:hAnsi="Times New Roman" w:eastAsia="黑体" w:cs="Times New Roman"/>
          <w:b w:val="0"/>
          <w:bCs/>
          <w:color w:val="000000"/>
          <w:sz w:val="32"/>
          <w:szCs w:val="32"/>
          <w:lang w:val="en-US" w:eastAsia="zh-CN"/>
        </w:rPr>
        <w:t>5</w:t>
      </w:r>
      <w:r>
        <w:rPr>
          <w:rFonts w:hint="default" w:ascii="Times New Roman" w:hAnsi="Times New Roman" w:eastAsia="黑体" w:cs="Times New Roman"/>
          <w:b w:val="0"/>
          <w:bCs/>
          <w:color w:val="000000"/>
          <w:sz w:val="32"/>
          <w:szCs w:val="32"/>
        </w:rPr>
        <w:t>-</w:t>
      </w:r>
      <w:r>
        <w:rPr>
          <w:rFonts w:hint="default" w:ascii="Times New Roman" w:hAnsi="Times New Roman" w:eastAsia="黑体" w:cs="Times New Roman"/>
          <w:b w:val="0"/>
          <w:bCs/>
          <w:color w:val="000000"/>
          <w:sz w:val="32"/>
          <w:szCs w:val="32"/>
          <w:lang w:val="en-US" w:eastAsia="zh-CN"/>
        </w:rPr>
        <w:t>7</w:t>
      </w:r>
      <w:r>
        <w:rPr>
          <w:rFonts w:hint="default" w:ascii="Times New Roman" w:hAnsi="Times New Roman" w:eastAsia="黑体" w:cs="Times New Roman"/>
          <w:b w:val="0"/>
          <w:bCs/>
          <w:color w:val="000000"/>
          <w:sz w:val="32"/>
          <w:szCs w:val="32"/>
        </w:rPr>
        <w:t>）</w:t>
      </w:r>
    </w:p>
    <w:p w14:paraId="2234EAC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5.广西红色文化资源数字化赋能中华民族共同体意识的机制与路径研究</w:t>
      </w:r>
    </w:p>
    <w:p w14:paraId="4BE509E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6.树立和践行正确政绩观视野下八桂文化当代价值研究</w:t>
      </w:r>
    </w:p>
    <w:p w14:paraId="272319A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7.数智赋能中国在东盟国际形象提升研究</w:t>
      </w:r>
    </w:p>
    <w:p w14:paraId="04992D07">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70" w:lineRule="exact"/>
        <w:ind w:firstLine="640" w:firstLineChars="200"/>
        <w:textAlignment w:val="auto"/>
        <w:rPr>
          <w:rFonts w:hint="default" w:ascii="Times New Roman" w:hAnsi="Times New Roman" w:eastAsia="黑体" w:cs="Times New Roman"/>
          <w:b w:val="0"/>
          <w:bCs/>
          <w:color w:val="000000"/>
          <w:sz w:val="32"/>
          <w:szCs w:val="32"/>
          <w:lang w:val="en-US" w:eastAsia="zh-CN"/>
        </w:rPr>
      </w:pPr>
      <w:r>
        <w:rPr>
          <w:rFonts w:hint="default" w:ascii="Times New Roman" w:hAnsi="Times New Roman" w:eastAsia="黑体" w:cs="Times New Roman"/>
          <w:b w:val="0"/>
          <w:bCs/>
          <w:color w:val="000000"/>
          <w:sz w:val="32"/>
          <w:szCs w:val="32"/>
          <w:lang w:val="en-US" w:eastAsia="zh-CN"/>
        </w:rPr>
        <w:t>三、社会治理与民生保障（8-13）</w:t>
      </w:r>
    </w:p>
    <w:p w14:paraId="30F28CC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val="en-US" w:eastAsia="zh-CN"/>
        </w:rPr>
        <w:t>8.党建引领基层治理的广西实践模式研究</w:t>
      </w:r>
    </w:p>
    <w:p w14:paraId="73438EE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9.广西生育友好社会建设路径优化研究</w:t>
      </w:r>
    </w:p>
    <w:p w14:paraId="594A409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10.</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银发经济</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背景下</w:t>
      </w:r>
      <w:r>
        <w:rPr>
          <w:rFonts w:hint="default" w:ascii="Times New Roman" w:hAnsi="Times New Roman" w:eastAsia="仿宋_GB2312" w:cs="Times New Roman"/>
          <w:color w:val="000000"/>
          <w:kern w:val="0"/>
          <w:sz w:val="32"/>
          <w:szCs w:val="32"/>
          <w:lang w:val="en-US" w:eastAsia="zh-CN" w:bidi="ar"/>
        </w:rPr>
        <w:t>培育壮大广西特色康养新业态研究</w:t>
      </w:r>
    </w:p>
    <w:p w14:paraId="6E1B48F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11.数智时代“有为政府”新形态研究</w:t>
      </w:r>
    </w:p>
    <w:p w14:paraId="34741FF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12.广西基层治理的利益冲突影响因素及其化解研究</w:t>
      </w:r>
    </w:p>
    <w:p w14:paraId="09ABCC6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13.广西人口结构转型与健全多层次社会保障体系研究</w:t>
      </w:r>
    </w:p>
    <w:p w14:paraId="2D952021">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70" w:lineRule="exact"/>
        <w:ind w:firstLine="640" w:firstLineChars="200"/>
        <w:textAlignment w:val="auto"/>
        <w:rPr>
          <w:rFonts w:hint="default" w:ascii="Times New Roman" w:hAnsi="Times New Roman" w:eastAsia="黑体" w:cs="Times New Roman"/>
          <w:b w:val="0"/>
          <w:bCs/>
          <w:color w:val="000000"/>
          <w:sz w:val="32"/>
          <w:szCs w:val="32"/>
          <w:lang w:val="en-US" w:eastAsia="zh-CN"/>
        </w:rPr>
      </w:pPr>
      <w:r>
        <w:rPr>
          <w:rFonts w:hint="default" w:ascii="Times New Roman" w:hAnsi="Times New Roman" w:eastAsia="黑体" w:cs="Times New Roman"/>
          <w:b w:val="0"/>
          <w:bCs/>
          <w:color w:val="000000"/>
          <w:sz w:val="32"/>
          <w:szCs w:val="32"/>
          <w:lang w:val="en-US" w:eastAsia="zh-CN"/>
        </w:rPr>
        <w:t>四、开放合作与区域发展（14-22）</w:t>
      </w:r>
    </w:p>
    <w:p w14:paraId="373A940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val="en-US" w:bidi="ar"/>
        </w:rPr>
        <w:t>14.</w:t>
      </w:r>
      <w:r>
        <w:rPr>
          <w:rFonts w:hint="default" w:ascii="Times New Roman" w:hAnsi="Times New Roman" w:eastAsia="仿宋_GB2312" w:cs="Times New Roman"/>
          <w:color w:val="000000"/>
          <w:kern w:val="0"/>
          <w:sz w:val="32"/>
          <w:szCs w:val="32"/>
          <w:lang w:bidi="ar"/>
        </w:rPr>
        <w:t>平陆运河通航后</w:t>
      </w:r>
      <w:r>
        <w:rPr>
          <w:rFonts w:hint="default" w:ascii="Times New Roman" w:hAnsi="Times New Roman" w:eastAsia="仿宋_GB2312" w:cs="Times New Roman"/>
          <w:color w:val="000000"/>
          <w:kern w:val="0"/>
          <w:sz w:val="32"/>
          <w:szCs w:val="32"/>
          <w:lang w:val="en-US" w:eastAsia="zh-CN" w:bidi="ar"/>
        </w:rPr>
        <w:t>江海联运</w:t>
      </w:r>
      <w:r>
        <w:rPr>
          <w:rFonts w:hint="default" w:ascii="Times New Roman" w:hAnsi="Times New Roman" w:eastAsia="仿宋_GB2312" w:cs="Times New Roman"/>
          <w:color w:val="000000"/>
          <w:kern w:val="0"/>
          <w:sz w:val="32"/>
          <w:szCs w:val="32"/>
          <w:lang w:bidi="ar"/>
        </w:rPr>
        <w:t>模式</w:t>
      </w:r>
      <w:r>
        <w:rPr>
          <w:rFonts w:hint="default" w:ascii="Times New Roman" w:hAnsi="Times New Roman" w:eastAsia="仿宋_GB2312" w:cs="Times New Roman"/>
          <w:color w:val="000000"/>
          <w:kern w:val="0"/>
          <w:sz w:val="32"/>
          <w:szCs w:val="32"/>
          <w:lang w:val="en-US" w:eastAsia="zh-CN" w:bidi="ar"/>
        </w:rPr>
        <w:t>创新</w:t>
      </w:r>
      <w:r>
        <w:rPr>
          <w:rFonts w:hint="default" w:ascii="Times New Roman" w:hAnsi="Times New Roman" w:eastAsia="仿宋_GB2312" w:cs="Times New Roman"/>
          <w:color w:val="000000"/>
          <w:kern w:val="0"/>
          <w:sz w:val="32"/>
          <w:szCs w:val="32"/>
          <w:lang w:bidi="ar"/>
        </w:rPr>
        <w:t>与通关一体化研究</w:t>
      </w:r>
    </w:p>
    <w:p w14:paraId="00AD21D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15.广西海洋旅游业高质量发展研究</w:t>
      </w:r>
    </w:p>
    <w:p w14:paraId="3DA7701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16.广西海上牧场创新发展与政策集成研究</w:t>
      </w:r>
    </w:p>
    <w:p w14:paraId="1281557E">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17.西部陆海新通道（广西）提速增效研究</w:t>
      </w:r>
    </w:p>
    <w:p w14:paraId="7DDD529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18.粤桂协作背景下县域产业共建模式研究</w:t>
      </w:r>
    </w:p>
    <w:p w14:paraId="121B858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19.广西边境地区铸牢中华民族共同体意识与守边固边融合研究</w:t>
      </w:r>
    </w:p>
    <w:p w14:paraId="0C2F538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20.“全球南方”话语源流与中国话语体系构建研究</w:t>
      </w:r>
    </w:p>
    <w:p w14:paraId="6CF8028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21.广西深度参与</w:t>
      </w:r>
      <w:r>
        <w:rPr>
          <w:rFonts w:hint="eastAsia" w:ascii="Times New Roman" w:hAnsi="Times New Roman" w:eastAsia="仿宋_GB2312" w:cs="Times New Roman"/>
          <w:color w:val="000000"/>
          <w:kern w:val="0"/>
          <w:sz w:val="32"/>
          <w:szCs w:val="32"/>
          <w:lang w:val="en-US" w:eastAsia="zh-CN" w:bidi="ar"/>
        </w:rPr>
        <w:t>中国—东盟</w:t>
      </w:r>
      <w:r>
        <w:rPr>
          <w:rFonts w:hint="default" w:ascii="Times New Roman" w:hAnsi="Times New Roman" w:eastAsia="仿宋_GB2312" w:cs="Times New Roman"/>
          <w:color w:val="000000"/>
          <w:kern w:val="0"/>
          <w:sz w:val="32"/>
          <w:szCs w:val="32"/>
          <w:lang w:val="en-US" w:eastAsia="zh-CN" w:bidi="ar"/>
        </w:rPr>
        <w:t>自贸区3.0版建设对策研究</w:t>
      </w:r>
    </w:p>
    <w:p w14:paraId="4D01901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bidi="ar"/>
        </w:rPr>
        <w:t>22.</w:t>
      </w:r>
      <w:r>
        <w:rPr>
          <w:rFonts w:hint="default" w:ascii="Times New Roman" w:hAnsi="Times New Roman" w:eastAsia="仿宋_GB2312" w:cs="Times New Roman"/>
          <w:color w:val="000000"/>
          <w:kern w:val="0"/>
          <w:sz w:val="32"/>
          <w:szCs w:val="32"/>
          <w:lang w:bidi="ar"/>
        </w:rPr>
        <w:t>广西</w:t>
      </w:r>
      <w:r>
        <w:rPr>
          <w:rFonts w:hint="default" w:ascii="Times New Roman" w:hAnsi="Times New Roman" w:eastAsia="仿宋_GB2312" w:cs="Times New Roman"/>
          <w:color w:val="000000"/>
          <w:kern w:val="0"/>
          <w:sz w:val="32"/>
          <w:szCs w:val="32"/>
          <w:lang w:val="en-US" w:eastAsia="zh-CN" w:bidi="ar"/>
        </w:rPr>
        <w:t>提升</w:t>
      </w:r>
      <w:r>
        <w:rPr>
          <w:rFonts w:hint="default" w:ascii="Times New Roman" w:hAnsi="Times New Roman" w:eastAsia="仿宋_GB2312" w:cs="Times New Roman"/>
          <w:color w:val="000000"/>
          <w:kern w:val="0"/>
          <w:sz w:val="32"/>
          <w:szCs w:val="32"/>
          <w:lang w:bidi="ar"/>
        </w:rPr>
        <w:t>面向东盟</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技术</w:t>
      </w:r>
      <w:r>
        <w:rPr>
          <w:rFonts w:hint="default" w:ascii="Times New Roman" w:hAnsi="Times New Roman" w:eastAsia="仿宋_GB2312" w:cs="Times New Roman"/>
          <w:color w:val="000000"/>
          <w:kern w:val="0"/>
          <w:sz w:val="32"/>
          <w:szCs w:val="32"/>
          <w:lang w:val="en-US" w:eastAsia="zh-CN" w:bidi="ar"/>
        </w:rPr>
        <w:t>转移中心</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val="en-US" w:eastAsia="zh-CN" w:bidi="ar"/>
        </w:rPr>
        <w:t>效能</w:t>
      </w:r>
      <w:r>
        <w:rPr>
          <w:rFonts w:hint="default" w:ascii="Times New Roman" w:hAnsi="Times New Roman" w:eastAsia="仿宋_GB2312" w:cs="Times New Roman"/>
          <w:color w:val="000000"/>
          <w:kern w:val="0"/>
          <w:sz w:val="32"/>
          <w:szCs w:val="32"/>
          <w:lang w:bidi="ar"/>
        </w:rPr>
        <w:t>研究</w:t>
      </w:r>
    </w:p>
    <w:p w14:paraId="1A740D96">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70" w:lineRule="exact"/>
        <w:ind w:firstLine="640" w:firstLineChars="200"/>
        <w:textAlignment w:val="auto"/>
        <w:rPr>
          <w:rFonts w:hint="default" w:ascii="Times New Roman" w:hAnsi="Times New Roman" w:eastAsia="黑体" w:cs="Times New Roman"/>
          <w:b w:val="0"/>
          <w:bCs/>
          <w:color w:val="000000"/>
          <w:sz w:val="32"/>
          <w:szCs w:val="32"/>
          <w:lang w:val="en-US" w:eastAsia="zh-CN"/>
        </w:rPr>
      </w:pPr>
      <w:r>
        <w:rPr>
          <w:rFonts w:hint="default" w:ascii="Times New Roman" w:hAnsi="Times New Roman" w:eastAsia="黑体" w:cs="Times New Roman"/>
          <w:b w:val="0"/>
          <w:bCs/>
          <w:color w:val="000000"/>
          <w:sz w:val="32"/>
          <w:szCs w:val="32"/>
          <w:lang w:val="en-US" w:eastAsia="zh-CN"/>
        </w:rPr>
        <w:t>五、人工智能与数字经济（23-26）</w:t>
      </w:r>
    </w:p>
    <w:p w14:paraId="3200187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23.广西加快中国—东盟人工智能跨境数据产业高质量发展研究</w:t>
      </w:r>
    </w:p>
    <w:p w14:paraId="6673740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24.广西面向东盟的区域智慧农业科技协同创新机制与模式研究</w:t>
      </w:r>
    </w:p>
    <w:p w14:paraId="741D35D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25.广西创新发展智能经济新形态研究</w:t>
      </w:r>
    </w:p>
    <w:p w14:paraId="228E1A4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26.广西因地制宜打造人工智能综合应用场景路径研究</w:t>
      </w:r>
    </w:p>
    <w:p w14:paraId="52E14EA1">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70" w:lineRule="exact"/>
        <w:ind w:firstLine="640" w:firstLineChars="200"/>
        <w:textAlignment w:val="auto"/>
        <w:rPr>
          <w:rFonts w:hint="default" w:ascii="Times New Roman" w:hAnsi="Times New Roman" w:eastAsia="黑体" w:cs="Times New Roman"/>
          <w:b w:val="0"/>
          <w:bCs/>
          <w:color w:val="000000"/>
          <w:sz w:val="32"/>
          <w:szCs w:val="32"/>
          <w:lang w:val="en-US" w:eastAsia="zh-CN"/>
        </w:rPr>
      </w:pPr>
      <w:r>
        <w:rPr>
          <w:rFonts w:hint="default" w:ascii="Times New Roman" w:hAnsi="Times New Roman" w:eastAsia="黑体" w:cs="Times New Roman"/>
          <w:b w:val="0"/>
          <w:bCs/>
          <w:color w:val="000000"/>
          <w:sz w:val="32"/>
          <w:szCs w:val="32"/>
          <w:lang w:val="en-US" w:eastAsia="zh-CN"/>
        </w:rPr>
        <w:t>六、战略规划与综合研究（27-30）</w:t>
      </w:r>
    </w:p>
    <w:p w14:paraId="445AFCD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27.广西推动消费服务业扩能提质研究</w:t>
      </w:r>
    </w:p>
    <w:p w14:paraId="77B0B60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28.推动广西有色金属关键金属产业高质量发展问题与对策研究</w:t>
      </w:r>
    </w:p>
    <w:p w14:paraId="076E54C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70" w:lineRule="exact"/>
        <w:ind w:leftChars="0"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kern w:val="0"/>
          <w:sz w:val="32"/>
          <w:szCs w:val="32"/>
          <w:lang w:val="en-US" w:eastAsia="zh-CN" w:bidi="ar"/>
        </w:rPr>
        <w:t>29.广西发展低空经济问题与对策研究</w:t>
      </w:r>
    </w:p>
    <w:p w14:paraId="75222DFD">
      <w:pPr>
        <w:keepNext w:val="0"/>
        <w:keepLines w:val="0"/>
        <w:pageBreakBefore w:val="0"/>
        <w:widowControl/>
        <w:numPr>
          <w:ilvl w:val="0"/>
          <w:numId w:val="0"/>
        </w:numPr>
        <w:kinsoku/>
        <w:wordWrap/>
        <w:overflowPunct/>
        <w:topLinePunct w:val="0"/>
        <w:autoSpaceDE/>
        <w:autoSpaceDN/>
        <w:bidi w:val="0"/>
        <w:adjustRightInd/>
        <w:snapToGrid/>
        <w:spacing w:line="570" w:lineRule="exact"/>
        <w:ind w:leftChars="0" w:firstLine="640" w:firstLineChars="200"/>
        <w:jc w:val="left"/>
        <w:textAlignment w:val="auto"/>
        <w:rPr>
          <w:rFonts w:hint="default" w:ascii="Times New Roman" w:hAnsi="Times New Roman" w:cs="Times New Roman"/>
          <w:color w:val="000000"/>
        </w:rPr>
      </w:pPr>
      <w:r>
        <w:rPr>
          <w:rFonts w:hint="default" w:ascii="Times New Roman" w:hAnsi="Times New Roman" w:eastAsia="仿宋_GB2312" w:cs="Times New Roman"/>
          <w:color w:val="000000"/>
          <w:sz w:val="32"/>
          <w:szCs w:val="32"/>
          <w:lang w:val="en-US" w:eastAsia="zh-CN"/>
        </w:rPr>
        <w:t>30.广西冷门绝学（申报者自选方向）创新发展研究</w:t>
      </w:r>
    </w:p>
    <w:p w14:paraId="27DD563A"/>
    <w:sectPr>
      <w:pgSz w:w="11906" w:h="16838"/>
      <w:pgMar w:top="1440" w:right="1689" w:bottom="1440" w:left="1633"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0A3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left"/>
    </w:pPr>
    <w:rPr>
      <w:rFonts w:ascii="宋体" w:hAnsi="Times New Roman" w:eastAsia="宋体" w:cs="Times New Roman"/>
      <w:kern w:val="2"/>
      <w:sz w:val="24"/>
      <w:szCs w:val="21"/>
      <w:lang w:val="en-US" w:eastAsia="zh-CN"/>
    </w:rPr>
  </w:style>
  <w:style w:type="paragraph" w:styleId="2">
    <w:name w:val="heading 2"/>
    <w:basedOn w:val="1"/>
    <w:next w:val="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jc w:val="left"/>
      <w:textAlignment w:val="auto"/>
      <w:outlineLvl w:val="1"/>
    </w:pPr>
    <w:rPr>
      <w:rFonts w:ascii="宋体" w:eastAsia="宋体"/>
      <w:b/>
      <w:snapToGrid/>
      <w:color w:val="auto"/>
      <w:spacing w:val="0"/>
      <w:w w:val="100"/>
      <w:kern w:val="0"/>
      <w:position w:val="0"/>
      <w:sz w:val="36"/>
      <w:szCs w:val="21"/>
      <w:u w:val="none" w:color="auto"/>
      <w:vertAlign w:val="baseline"/>
      <w:lang w:val="en-US" w:eastAsia="zh-CN"/>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2026-03-15T09:50:53Z</dcterms:created>
  <dc:creator>Lenovo</dc:creator>
  <cp:lastModifiedBy>项婷婷</cp:lastModifiedBy>
  <dcterms:modified xsi:type="dcterms:W3CDTF">2026-03-15T09:55:13Z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eyJoZGlkIjoiNWQ2NDg2NzRhMDI0MzUzZTNiMjE4NzlkODJkOTYxYWYiLCJ1c2VySWQiOiI2NDI3NjQ4MDcifQ==</vt:lpwstr>
  </property>
  <property fmtid="{D5CDD505-2E9C-101B-9397-08002B2CF9AE}" pid="4" name="ICV">
    <vt:lpwstr>D3AE2B0B7E494A99954E5EDDE2BB1635_12</vt:lpwstr>
  </property>
</Properties>
</file>