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55280">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1292068D">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sz w:val="44"/>
          <w:szCs w:val="44"/>
          <w:lang w:eastAsia="zh-CN"/>
        </w:rPr>
      </w:pPr>
      <w:bookmarkStart w:id="0" w:name="_GoBack"/>
      <w:r>
        <w:rPr>
          <w:rFonts w:hint="default" w:ascii="Times New Roman" w:hAnsi="Times New Roman" w:eastAsia="方正小标宋简体" w:cs="Times New Roman"/>
          <w:sz w:val="44"/>
          <w:szCs w:val="44"/>
        </w:rPr>
        <w:t>2026年广西社科界</w:t>
      </w:r>
      <w:r>
        <w:rPr>
          <w:rFonts w:hint="default" w:ascii="Times New Roman" w:hAnsi="Times New Roman" w:eastAsia="方正小标宋简体" w:cs="Times New Roman"/>
          <w:sz w:val="44"/>
          <w:szCs w:val="44"/>
          <w:lang w:eastAsia="zh-CN"/>
        </w:rPr>
        <w:t>人工智能专项课题</w:t>
      </w:r>
    </w:p>
    <w:p w14:paraId="55403B64">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选题参考</w:t>
      </w:r>
      <w:r>
        <w:rPr>
          <w:rFonts w:hint="default" w:ascii="Times New Roman" w:hAnsi="Times New Roman" w:eastAsia="方正小标宋简体" w:cs="Times New Roman"/>
          <w:sz w:val="44"/>
          <w:szCs w:val="44"/>
          <w:lang w:eastAsia="zh-CN"/>
        </w:rPr>
        <w:t>目录</w:t>
      </w:r>
    </w:p>
    <w:bookmarkEnd w:id="0"/>
    <w:p w14:paraId="308739AA">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13106BEB">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1.“广西集成”模式下的中国—东盟人工智能跨境产业生态研究</w:t>
      </w:r>
    </w:p>
    <w:p w14:paraId="71B443CA">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2.中国—东盟人工智能治理规则与伦理共识研究</w:t>
      </w:r>
    </w:p>
    <w:p w14:paraId="25C5BF58">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3.人工智能赋能中国—东盟跨境文化交流与传播研究</w:t>
      </w:r>
    </w:p>
    <w:p w14:paraId="17DCC197">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4.广西人工智能产业基金与投融资机制创新研究</w:t>
      </w:r>
    </w:p>
    <w:p w14:paraId="47E33391">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5.面向东盟的智能体产业园建设与运营可行性研究</w:t>
      </w:r>
    </w:p>
    <w:p w14:paraId="0EB966E2">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6.智能经济时代基于智能体的就业创业扶持政策与“一人公司”（OPC）生态培育研究</w:t>
      </w:r>
    </w:p>
    <w:p w14:paraId="45627740">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7.当前广西“一人公司”（OPC）现状、问题及扶持政策研究</w:t>
      </w:r>
    </w:p>
    <w:p w14:paraId="56E932B2">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8.赋能广西智能经济高质量发展：干部人工智能教育培训体系建设及实施路径研究</w:t>
      </w:r>
    </w:p>
    <w:p w14:paraId="27958CF4">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9.广西文旅产业的AI赋能推广研究</w:t>
      </w:r>
    </w:p>
    <w:p w14:paraId="0F9CB356">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10.AI驱动下广西传统产业从业者技能转型与再就业路径研究</w:t>
      </w:r>
    </w:p>
    <w:p w14:paraId="15F0FAE7">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11.AI赋能乡村“新农人”培育模式研究</w:t>
      </w:r>
    </w:p>
    <w:p w14:paraId="734074E4">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12.人工智能赋能广西智慧社区体系（养老服务、智慧物业、家政服务等）创新研究</w:t>
      </w:r>
    </w:p>
    <w:p w14:paraId="6134A19F">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13.AI赋能广西基层社会治理效能提升研究</w:t>
      </w:r>
    </w:p>
    <w:p w14:paraId="0B312A63">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14.服务智能经济新形态的人工智能职业技能培训模式与实践探索</w:t>
      </w:r>
    </w:p>
    <w:p w14:paraId="6A9BD506">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15.广西中小学人工智能通识教育课程体系与资源开发研究</w:t>
      </w:r>
    </w:p>
    <w:p w14:paraId="1D7F6653">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16.中小学教师人工智能素养与教学能力提升研究</w:t>
      </w:r>
    </w:p>
    <w:p w14:paraId="75DC27C2">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17.中小学人工智能实验室建设指南与评价体系研究</w:t>
      </w:r>
    </w:p>
    <w:p w14:paraId="349C1971">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18.中小学生校外人工智能教育实践基地建设指南与评价体系研究</w:t>
      </w:r>
    </w:p>
    <w:p w14:paraId="5D41E5A0">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19.AI素养提升促进学生学业发展的实践路径与成效评估</w:t>
      </w:r>
    </w:p>
    <w:p w14:paraId="3ECA813F">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20.人工智能教育与拔尖创新人才培养的协同作用及机制研究</w:t>
      </w:r>
    </w:p>
    <w:p w14:paraId="3616B85A">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21.人工智能兴趣培养对电子产品沉迷与游戏成瘾的改善机制及策略研究</w:t>
      </w:r>
    </w:p>
    <w:p w14:paraId="56E237B1">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22.面向职业教育的AI产教融合实训平台建设与评价研究</w:t>
      </w:r>
    </w:p>
    <w:p w14:paraId="677F6B6D">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23.人工智能产教融合体的典型模式、运行机理与经验提炼研究</w:t>
      </w:r>
    </w:p>
    <w:p w14:paraId="5732F9FA">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24.全民AI视域下人工智能进社区的实践路径与政策研究</w:t>
      </w:r>
    </w:p>
    <w:p w14:paraId="4E5835F0">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25.人工智能驱动“教、学、研、管、评、育”教育全场景创新研究</w:t>
      </w:r>
    </w:p>
    <w:p w14:paraId="2C31666A">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26.人工智能赋能广西教师队伍建设：场景化研修模式创新与评价体系实践研究</w:t>
      </w:r>
    </w:p>
    <w:p w14:paraId="299EDE80">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27.广西城乡中小学生人工智能素养差异与均衡发展策略研究</w:t>
      </w:r>
    </w:p>
    <w:p w14:paraId="33DC0A24">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28.AI智能体安全治理与合规应用体系研究</w:t>
      </w:r>
    </w:p>
    <w:p w14:paraId="6EC6B3B5">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29.智能体开源生态与人工智能教育的协同机制及实践路径研究</w:t>
      </w:r>
    </w:p>
    <w:p w14:paraId="7A0E528C">
      <w:pPr>
        <w:keepNext w:val="0"/>
        <w:keepLines w:val="0"/>
        <w:pageBreakBefore w:val="0"/>
        <w:widowControl/>
        <w:suppressLineNumbers w:val="0"/>
        <w:kinsoku/>
        <w:wordWrap/>
        <w:overflowPunct/>
        <w:topLinePunct w:val="0"/>
        <w:autoSpaceDE/>
        <w:autoSpaceDN/>
        <w:bidi w:val="0"/>
        <w:adjustRightInd/>
        <w:snapToGrid/>
        <w:spacing w:line="564"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30.基于多模态数据的青少年心理健康AI监测与预警研究</w:t>
      </w:r>
    </w:p>
    <w:p w14:paraId="3FEC6C97">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24B78BCE">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0B79E368">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3B3D6D14">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29B2EF7E">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478862FB">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72803CDC">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7DE4D475">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4082ECBC">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26A83632">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03D45E81">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5864FCCE">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467DADAF">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仿宋_GB2312" w:cs="Times New Roman"/>
          <w:sz w:val="32"/>
          <w:szCs w:val="32"/>
        </w:rPr>
      </w:pPr>
    </w:p>
    <w:p w14:paraId="414382D8"/>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18886">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0D3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2026-04-01T10:19:35Z</dcterms:created>
  <dc:creator>Lenovo</dc:creator>
  <cp:lastModifiedBy>项婷婷</cp:lastModifiedBy>
  <dcterms:modified xsi:type="dcterms:W3CDTF">2026-04-01T10:22:19Z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eyJoZGlkIjoiYjgyNjAxYzNiOTZlYTc0NzI5NGVlZDJmZTY3MzUwMTMiLCJ1c2VySWQiOiI2NDI3NjQ4MDcifQ==</vt:lpwstr>
  </property>
  <property fmtid="{D5CDD505-2E9C-101B-9397-08002B2CF9AE}" pid="4" name="ICV">
    <vt:lpwstr>A378540460754BE7B14B374D56A08B20_12</vt:lpwstr>
  </property>
</Properties>
</file>