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20B00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ascii="Times New Roman" w:eastAsia="黑体"/>
          <w:b w:val="0"/>
          <w:sz w:val="44"/>
        </w:rPr>
      </w:pPr>
      <w:r>
        <w:rPr>
          <w:rFonts w:hint="eastAsia" w:ascii="黑体" w:hAnsi="黑体" w:eastAsia="黑体" w:cs="黑体"/>
          <w:b/>
          <w:sz w:val="44"/>
          <w:szCs w:val="44"/>
          <w:lang w:val="en-US" w:eastAsia="zh-CN"/>
        </w:rPr>
        <w:t>《</w:t>
      </w:r>
      <w:r>
        <w:rPr>
          <w:rFonts w:hint="eastAsia" w:ascii="黑体" w:hAnsi="黑体" w:eastAsia="黑体" w:cs="黑体"/>
          <w:b/>
          <w:color w:val="FF0000"/>
          <w:sz w:val="44"/>
          <w:szCs w:val="44"/>
          <w:lang w:val="en-US" w:eastAsia="zh-CN"/>
        </w:rPr>
        <w:t>课程名称</w:t>
      </w:r>
      <w:r>
        <w:rPr>
          <w:rFonts w:hint="eastAsia" w:ascii="黑体" w:hAnsi="黑体" w:eastAsia="黑体" w:cs="黑体"/>
          <w:b/>
          <w:sz w:val="44"/>
          <w:szCs w:val="44"/>
          <w:lang w:val="en-US" w:eastAsia="zh-CN"/>
        </w:rPr>
        <w:t>》</w:t>
      </w:r>
      <w:r>
        <w:rPr>
          <w:rFonts w:ascii="Times New Roman" w:hAnsi="Arial" w:eastAsia="黑体" w:cs="Arial"/>
          <w:b w:val="0"/>
          <w:sz w:val="44"/>
        </w:rPr>
        <w:t>教学创新成果报告</w:t>
      </w:r>
    </w:p>
    <w:p w14:paraId="1734C0A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0" w:firstLineChars="0"/>
        <w:jc w:val="both"/>
        <w:textAlignment w:val="auto"/>
        <w:rPr>
          <w:rFonts w:hint="eastAsia" w:asciiTheme="minorEastAsia" w:hAnsiTheme="minorEastAsia" w:eastAsiaTheme="minorEastAsia" w:cstheme="minorEastAsia"/>
          <w:b w:val="0"/>
          <w:color w:val="FF0000"/>
          <w:sz w:val="28"/>
          <w:szCs w:val="28"/>
        </w:rPr>
      </w:pPr>
      <w:r>
        <w:rPr>
          <w:rFonts w:hint="eastAsia" w:asciiTheme="minorEastAsia" w:hAnsiTheme="minorEastAsia" w:eastAsiaTheme="minorEastAsia" w:cstheme="minorEastAsia"/>
          <w:b/>
          <w:bCs/>
          <w:color w:val="FF0000"/>
          <w:sz w:val="28"/>
          <w:szCs w:val="28"/>
          <w:lang w:val="en-US" w:eastAsia="zh-CN"/>
        </w:rPr>
        <w:t>模板</w:t>
      </w:r>
      <w:r>
        <w:rPr>
          <w:rFonts w:hint="eastAsia" w:asciiTheme="minorEastAsia" w:hAnsiTheme="minorEastAsia" w:eastAsiaTheme="minorEastAsia" w:cstheme="minorEastAsia"/>
          <w:b/>
          <w:bCs/>
          <w:color w:val="FF0000"/>
          <w:sz w:val="28"/>
          <w:szCs w:val="28"/>
        </w:rPr>
        <w:t>说明：</w:t>
      </w:r>
      <w:r>
        <w:rPr>
          <w:rFonts w:hint="eastAsia" w:asciiTheme="minorEastAsia" w:hAnsiTheme="minorEastAsia" w:eastAsiaTheme="minorEastAsia" w:cstheme="minorEastAsia"/>
          <w:b w:val="0"/>
          <w:color w:val="FF0000"/>
          <w:sz w:val="28"/>
          <w:szCs w:val="28"/>
        </w:rPr>
        <w:t>本模板</w:t>
      </w:r>
      <w:r>
        <w:rPr>
          <w:rFonts w:hint="eastAsia" w:asciiTheme="minorEastAsia" w:hAnsiTheme="minorEastAsia" w:cstheme="minorEastAsia"/>
          <w:b w:val="0"/>
          <w:color w:val="FF0000"/>
          <w:sz w:val="28"/>
          <w:szCs w:val="28"/>
          <w:lang w:val="en-US" w:eastAsia="zh-CN"/>
        </w:rPr>
        <w:t>仅供参考，请</w:t>
      </w:r>
      <w:r>
        <w:rPr>
          <w:rFonts w:hint="eastAsia" w:asciiTheme="minorEastAsia" w:hAnsiTheme="minorEastAsia" w:eastAsiaTheme="minorEastAsia" w:cstheme="minorEastAsia"/>
          <w:b w:val="0"/>
          <w:color w:val="FF0000"/>
          <w:sz w:val="28"/>
          <w:szCs w:val="28"/>
        </w:rPr>
        <w:t>基于全国高校教师教学创新大赛评审标准（聚焦“创新性、实效性、示范性”）</w:t>
      </w:r>
      <w:r>
        <w:rPr>
          <w:rFonts w:hint="eastAsia" w:asciiTheme="minorEastAsia" w:hAnsiTheme="minorEastAsia" w:cstheme="minorEastAsia"/>
          <w:b w:val="0"/>
          <w:color w:val="FF0000"/>
          <w:sz w:val="28"/>
          <w:szCs w:val="28"/>
          <w:lang w:val="en-US" w:eastAsia="zh-CN"/>
        </w:rPr>
        <w:t>自行</w:t>
      </w:r>
      <w:r>
        <w:rPr>
          <w:rFonts w:hint="eastAsia" w:asciiTheme="minorEastAsia" w:hAnsiTheme="minorEastAsia" w:eastAsiaTheme="minorEastAsia" w:cstheme="minorEastAsia"/>
          <w:b w:val="0"/>
          <w:color w:val="FF0000"/>
          <w:sz w:val="28"/>
          <w:szCs w:val="28"/>
        </w:rPr>
        <w:t>设计</w:t>
      </w:r>
      <w:r>
        <w:rPr>
          <w:rFonts w:hint="eastAsia" w:asciiTheme="minorEastAsia" w:hAnsiTheme="minorEastAsia" w:cstheme="minorEastAsia"/>
          <w:b w:val="0"/>
          <w:color w:val="FF0000"/>
          <w:sz w:val="28"/>
          <w:szCs w:val="28"/>
          <w:lang w:val="en-US" w:eastAsia="zh-CN"/>
        </w:rPr>
        <w:t>修改</w:t>
      </w:r>
      <w:r>
        <w:rPr>
          <w:rFonts w:hint="eastAsia" w:asciiTheme="minorEastAsia" w:hAnsiTheme="minorEastAsia" w:eastAsiaTheme="minorEastAsia" w:cstheme="minorEastAsia"/>
          <w:b w:val="0"/>
          <w:color w:val="FF0000"/>
          <w:sz w:val="28"/>
          <w:szCs w:val="28"/>
        </w:rPr>
        <w:t>，突出“问题导向-理念引领-实践落地-成效佐证-推广示范”逻辑闭环。报告总字数建议4000字</w:t>
      </w:r>
      <w:r>
        <w:rPr>
          <w:rFonts w:hint="eastAsia" w:asciiTheme="minorEastAsia" w:hAnsiTheme="minorEastAsia" w:cstheme="minorEastAsia"/>
          <w:b w:val="0"/>
          <w:color w:val="FF0000"/>
          <w:sz w:val="28"/>
          <w:szCs w:val="28"/>
          <w:lang w:val="en-US" w:eastAsia="zh-CN"/>
        </w:rPr>
        <w:t>为宜（不含摘要）</w:t>
      </w:r>
      <w:r>
        <w:rPr>
          <w:rFonts w:hint="eastAsia" w:asciiTheme="minorEastAsia" w:hAnsiTheme="minorEastAsia" w:eastAsiaTheme="minorEastAsia" w:cstheme="minorEastAsia"/>
          <w:b w:val="0"/>
          <w:color w:val="FF0000"/>
          <w:sz w:val="28"/>
          <w:szCs w:val="28"/>
        </w:rPr>
        <w:t>，核心内容需结合课程特色、学科特点精准</w:t>
      </w:r>
      <w:r>
        <w:rPr>
          <w:rFonts w:hint="eastAsia" w:asciiTheme="minorEastAsia" w:hAnsiTheme="minorEastAsia" w:cstheme="minorEastAsia"/>
          <w:b w:val="0"/>
          <w:color w:val="FF0000"/>
          <w:sz w:val="28"/>
          <w:szCs w:val="28"/>
          <w:lang w:val="en-US" w:eastAsia="zh-CN"/>
        </w:rPr>
        <w:t>表述</w:t>
      </w:r>
      <w:r>
        <w:rPr>
          <w:rFonts w:hint="eastAsia" w:asciiTheme="minorEastAsia" w:hAnsiTheme="minorEastAsia" w:eastAsiaTheme="minorEastAsia" w:cstheme="minorEastAsia"/>
          <w:b w:val="0"/>
          <w:color w:val="FF0000"/>
          <w:sz w:val="28"/>
          <w:szCs w:val="28"/>
        </w:rPr>
        <w:t>，</w:t>
      </w:r>
      <w:r>
        <w:rPr>
          <w:rFonts w:hint="eastAsia" w:asciiTheme="minorEastAsia" w:hAnsiTheme="minorEastAsia" w:cstheme="minorEastAsia"/>
          <w:b w:val="0"/>
          <w:color w:val="FF0000"/>
          <w:sz w:val="28"/>
          <w:szCs w:val="28"/>
          <w:lang w:val="en-US" w:eastAsia="zh-CN"/>
        </w:rPr>
        <w:t>切勿</w:t>
      </w:r>
      <w:r>
        <w:rPr>
          <w:rFonts w:hint="eastAsia" w:asciiTheme="minorEastAsia" w:hAnsiTheme="minorEastAsia" w:eastAsiaTheme="minorEastAsia" w:cstheme="minorEastAsia"/>
          <w:b w:val="0"/>
          <w:color w:val="FF0000"/>
          <w:sz w:val="28"/>
          <w:szCs w:val="28"/>
        </w:rPr>
        <w:t>泛化表述。</w:t>
      </w:r>
    </w:p>
    <w:p w14:paraId="791A55F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rPr>
          <w:rFonts w:hint="default" w:asciiTheme="minorEastAsia" w:hAnsiTheme="minorEastAsia" w:eastAsiaTheme="minorEastAsia" w:cstheme="minorEastAsia"/>
          <w:b w:val="0"/>
          <w:color w:val="FF0000"/>
          <w:sz w:val="28"/>
          <w:szCs w:val="28"/>
          <w:lang w:val="en-US" w:eastAsia="zh-CN"/>
        </w:rPr>
      </w:pPr>
      <w:r>
        <w:rPr>
          <w:rFonts w:hint="eastAsia" w:ascii="黑体" w:hAnsi="黑体" w:eastAsia="黑体" w:cs="黑体"/>
          <w:b/>
          <w:bCs/>
          <w:color w:val="FF0000"/>
          <w:sz w:val="32"/>
          <w:szCs w:val="32"/>
          <w:lang w:val="en-US" w:eastAsia="zh-CN"/>
        </w:rPr>
        <w:t>全文能画图制表的地方，切勿用文字代替，拿奖靠图表</w:t>
      </w:r>
    </w:p>
    <w:p w14:paraId="02F1162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b w:val="0"/>
          <w:i w:val="0"/>
          <w:sz w:val="28"/>
          <w:szCs w:val="28"/>
        </w:rPr>
      </w:pPr>
    </w:p>
    <w:p w14:paraId="5C0AD8D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b w:val="0"/>
          <w:i w:val="0"/>
          <w:color w:val="FF0000"/>
          <w:sz w:val="28"/>
          <w:szCs w:val="28"/>
        </w:rPr>
      </w:pPr>
      <w:r>
        <w:rPr>
          <w:rFonts w:hint="eastAsia" w:ascii="黑体" w:hAnsi="黑体" w:eastAsia="黑体" w:cs="黑体"/>
          <w:b w:val="0"/>
          <w:i w:val="0"/>
          <w:sz w:val="28"/>
          <w:szCs w:val="28"/>
        </w:rPr>
        <w:t>摘要：</w:t>
      </w:r>
      <w:r>
        <w:rPr>
          <w:rFonts w:hint="eastAsia" w:asciiTheme="minorEastAsia" w:hAnsiTheme="minorEastAsia" w:eastAsiaTheme="minorEastAsia" w:cstheme="minorEastAsia"/>
          <w:b w:val="0"/>
          <w:i w:val="0"/>
          <w:color w:val="FF0000"/>
          <w:sz w:val="28"/>
          <w:szCs w:val="28"/>
        </w:rPr>
        <w:t>本报告聚焦“创新性、实效性、示范性”，构建“问题导向-理念引领-实践落地-成效佐证-推广示范”的完整逻辑体系。依托</w:t>
      </w:r>
      <w:r>
        <w:rPr>
          <w:rFonts w:hint="eastAsia" w:asciiTheme="minorEastAsia" w:hAnsiTheme="minorEastAsia" w:cstheme="minorEastAsia"/>
          <w:b w:val="0"/>
          <w:i w:val="0"/>
          <w:color w:val="FF0000"/>
          <w:sz w:val="28"/>
          <w:szCs w:val="28"/>
          <w:lang w:val="en-US" w:eastAsia="zh-CN"/>
        </w:rPr>
        <w:t>XXXXX</w:t>
      </w:r>
      <w:r>
        <w:rPr>
          <w:rFonts w:hint="eastAsia" w:asciiTheme="minorEastAsia" w:hAnsiTheme="minorEastAsia" w:eastAsiaTheme="minorEastAsia" w:cstheme="minorEastAsia"/>
          <w:b w:val="0"/>
          <w:i w:val="0"/>
          <w:color w:val="FF0000"/>
          <w:sz w:val="28"/>
          <w:szCs w:val="28"/>
        </w:rPr>
        <w:t>课程，针对知识体系固化、教学方法单一、评价方式滞后等核心痛点，提出“理念-内容-方法-评价”四维协同创新路径，通过产教融合、技术赋能、多维评价等举措，实现学生能力提升、课程质量优化、教师发展赋能及成果示范推广。</w:t>
      </w:r>
      <w:bookmarkStart w:id="0" w:name="heading_0"/>
    </w:p>
    <w:p w14:paraId="4477FFA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b w:val="0"/>
          <w:i w:val="0"/>
          <w:color w:val="FF0000"/>
          <w:sz w:val="28"/>
          <w:szCs w:val="28"/>
        </w:rPr>
      </w:pPr>
    </w:p>
    <w:p w14:paraId="73DCBE8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b/>
          <w:sz w:val="28"/>
          <w:szCs w:val="28"/>
        </w:rPr>
      </w:pPr>
      <w:r>
        <w:rPr>
          <w:rFonts w:hint="eastAsia" w:ascii="黑体" w:hAnsi="黑体" w:eastAsia="黑体" w:cs="黑体"/>
          <w:b w:val="0"/>
          <w:i w:val="0"/>
          <w:sz w:val="28"/>
          <w:szCs w:val="28"/>
        </w:rPr>
        <w:t>一、成果概述</w:t>
      </w:r>
      <w:r>
        <w:rPr>
          <w:rFonts w:hint="eastAsia" w:ascii="黑体" w:hAnsi="黑体" w:eastAsia="黑体" w:cs="黑体"/>
          <w:b w:val="0"/>
          <w:i w:val="0"/>
          <w:color w:val="FF0000"/>
          <w:sz w:val="28"/>
          <w:szCs w:val="28"/>
        </w:rPr>
        <w:t>（350字</w:t>
      </w:r>
      <w:r>
        <w:rPr>
          <w:rFonts w:hint="eastAsia" w:ascii="黑体" w:hAnsi="黑体" w:eastAsia="黑体" w:cs="黑体"/>
          <w:b w:val="0"/>
          <w:i w:val="0"/>
          <w:color w:val="FF0000"/>
          <w:sz w:val="28"/>
          <w:szCs w:val="28"/>
          <w:lang w:val="en-US" w:eastAsia="zh-CN"/>
        </w:rPr>
        <w:t>以内</w:t>
      </w:r>
      <w:r>
        <w:rPr>
          <w:rFonts w:hint="eastAsia" w:ascii="黑体" w:hAnsi="黑体" w:eastAsia="黑体" w:cs="黑体"/>
          <w:b w:val="0"/>
          <w:i w:val="0"/>
          <w:color w:val="FF0000"/>
          <w:sz w:val="28"/>
          <w:szCs w:val="28"/>
        </w:rPr>
        <w:t>）</w:t>
      </w:r>
      <w:bookmarkEnd w:id="0"/>
    </w:p>
    <w:p w14:paraId="35A6872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1.核心定位：简述成果依托的课程名称、授课对象、课程性质，明确教学创新的核心方向（如“理念-内容-方法-评价”四维协同创新、“技术赋能+价值引领”双驱动创新等）。</w:t>
      </w:r>
    </w:p>
    <w:p w14:paraId="42FF5F8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2.核心内容：提炼3-4个核心创新点，简要说明各创新点的核心内涵（每点不超过50字）。</w:t>
      </w:r>
    </w:p>
    <w:p w14:paraId="2BD8833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3.核心价值：概括成果解决的核心教学痛点、达成的关键成效及示范推广意义（需体现“以学生为中心”“OBE理念”等大赛核心导向）。</w:t>
      </w:r>
    </w:p>
    <w:p w14:paraId="5145371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558ED5" w:themeColor="text2" w:themeTint="99"/>
          <w:sz w:val="28"/>
          <w:szCs w:val="28"/>
          <w14:textFill>
            <w14:solidFill>
              <w14:schemeClr w14:val="tx2">
                <w14:lumMod w14:val="60000"/>
                <w14:lumOff w14:val="40000"/>
              </w14:schemeClr>
            </w14:solidFill>
          </w14:textFill>
        </w:rPr>
      </w:pPr>
      <w:r>
        <w:rPr>
          <w:rFonts w:hint="eastAsia" w:asciiTheme="minorEastAsia" w:hAnsiTheme="minorEastAsia" w:eastAsiaTheme="minorEastAsia" w:cstheme="minorEastAsia"/>
          <w:color w:val="558ED5" w:themeColor="text2" w:themeTint="99"/>
          <w:sz w:val="28"/>
          <w:szCs w:val="28"/>
          <w14:textFill>
            <w14:solidFill>
              <w14:schemeClr w14:val="tx2">
                <w14:lumMod w14:val="60000"/>
                <w14:lumOff w14:val="40000"/>
              </w14:schemeClr>
            </w14:solidFill>
          </w14:textFill>
        </w:rPr>
        <w:t>示例：本成果依托《XX》（XX专业核心必修课，面向XX年级学生），聚焦“理论与实践脱节、学生主动性不足”等痛点，构建“价值引领+项目驱动+多维评价”三维创新体系，通过内容重构、方法迭代、技术赋能，实现学生能力提升与素养培育双突破，形成可复制的应用型课程创新模式。</w:t>
      </w:r>
    </w:p>
    <w:p w14:paraId="51D6F96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eastAsiaTheme="minorEastAsia" w:cstheme="minorEastAsia"/>
          <w:b/>
          <w:bCs w:val="0"/>
          <w:color w:val="604A7B" w:themeColor="accent4" w:themeShade="BF"/>
          <w:sz w:val="28"/>
          <w:szCs w:val="28"/>
        </w:rPr>
      </w:pPr>
      <w:r>
        <w:rPr>
          <w:rFonts w:hint="eastAsia" w:asciiTheme="minorEastAsia" w:hAnsiTheme="minorEastAsia" w:eastAsiaTheme="minorEastAsia" w:cstheme="minorEastAsia"/>
          <w:b/>
          <w:bCs w:val="0"/>
          <w:color w:val="604A7B" w:themeColor="accent4" w:themeShade="BF"/>
          <w:sz w:val="28"/>
          <w:szCs w:val="28"/>
          <w:lang w:val="en-US" w:eastAsia="zh-CN"/>
        </w:rPr>
        <w:t>画图建议：可设计“成果核心逻辑结构图”（图1），采用思维导图或层级逻辑图形式，以“成果核心”为中心节点，分支延伸“核心定位”“核心内容”“核心价值”三大一级节点，每个一级节点再细分具体要点，助力评审快速抓取核心信息。</w:t>
      </w:r>
    </w:p>
    <w:p w14:paraId="4BB5A08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1" w:name="heading_1"/>
      <w:r>
        <w:rPr>
          <w:rFonts w:hint="eastAsia" w:ascii="黑体" w:hAnsi="黑体" w:eastAsia="黑体" w:cs="黑体"/>
          <w:b w:val="0"/>
          <w:i w:val="0"/>
          <w:sz w:val="28"/>
          <w:szCs w:val="28"/>
        </w:rPr>
        <w:t>二、教学改革背景与核心痛点</w:t>
      </w:r>
      <w:r>
        <w:rPr>
          <w:rFonts w:hint="eastAsia" w:ascii="黑体" w:hAnsi="黑体" w:eastAsia="黑体" w:cs="黑体"/>
          <w:b w:val="0"/>
          <w:i w:val="0"/>
          <w:color w:val="FF0000"/>
          <w:sz w:val="28"/>
          <w:szCs w:val="28"/>
        </w:rPr>
        <w:t>（650字</w:t>
      </w:r>
      <w:r>
        <w:rPr>
          <w:rFonts w:hint="eastAsia" w:ascii="黑体" w:hAnsi="黑体" w:eastAsia="黑体" w:cs="黑体"/>
          <w:b w:val="0"/>
          <w:i w:val="0"/>
          <w:color w:val="FF0000"/>
          <w:sz w:val="28"/>
          <w:szCs w:val="28"/>
          <w:lang w:val="en-US" w:eastAsia="zh-CN"/>
        </w:rPr>
        <w:t>以内</w:t>
      </w:r>
      <w:r>
        <w:rPr>
          <w:rFonts w:hint="eastAsia" w:ascii="黑体" w:hAnsi="黑体" w:eastAsia="黑体" w:cs="黑体"/>
          <w:b w:val="0"/>
          <w:i w:val="0"/>
          <w:color w:val="FF0000"/>
          <w:sz w:val="28"/>
          <w:szCs w:val="28"/>
        </w:rPr>
        <w:t>）</w:t>
      </w:r>
      <w:bookmarkEnd w:id="1"/>
    </w:p>
    <w:p w14:paraId="29103A7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lang w:val="en-US" w:eastAsia="zh-CN"/>
        </w:rPr>
      </w:pPr>
      <w:bookmarkStart w:id="2" w:name="heading_2"/>
      <w:r>
        <w:rPr>
          <w:rFonts w:hint="eastAsia" w:ascii="黑体" w:hAnsi="黑体" w:eastAsia="黑体" w:cs="黑体"/>
          <w:b w:val="0"/>
          <w:i w:val="0"/>
          <w:sz w:val="28"/>
          <w:szCs w:val="28"/>
        </w:rPr>
        <w:t>（一）改革背景</w:t>
      </w:r>
      <w:bookmarkEnd w:id="2"/>
      <w:r>
        <w:rPr>
          <w:rFonts w:hint="eastAsia" w:ascii="黑体" w:hAnsi="黑体" w:eastAsia="黑体" w:cs="黑体"/>
          <w:b w:val="0"/>
          <w:i w:val="0"/>
          <w:color w:val="FF0000"/>
          <w:sz w:val="28"/>
          <w:szCs w:val="28"/>
          <w:lang w:eastAsia="zh-CN"/>
        </w:rPr>
        <w:t>（</w:t>
      </w:r>
      <w:r>
        <w:rPr>
          <w:rFonts w:hint="eastAsia" w:ascii="黑体" w:hAnsi="黑体" w:eastAsia="黑体" w:cs="黑体"/>
          <w:b w:val="0"/>
          <w:i w:val="0"/>
          <w:color w:val="FF0000"/>
          <w:sz w:val="28"/>
          <w:szCs w:val="28"/>
          <w:lang w:val="en-US" w:eastAsia="zh-CN"/>
        </w:rPr>
        <w:t>非必须</w:t>
      </w:r>
      <w:r>
        <w:rPr>
          <w:rFonts w:hint="eastAsia" w:ascii="黑体" w:hAnsi="黑体" w:eastAsia="黑体" w:cs="黑体"/>
          <w:b w:val="0"/>
          <w:i w:val="0"/>
          <w:color w:val="FF0000"/>
          <w:sz w:val="28"/>
          <w:szCs w:val="28"/>
          <w:lang w:eastAsia="zh-CN"/>
        </w:rPr>
        <w:t>）</w:t>
      </w:r>
    </w:p>
    <w:p w14:paraId="495DF56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1.政策与时代要求：结合国家教育方针（如“新工科、新医科、新农科、新文科”建设）、行业发展需求、学生成长规律，说明教学改革的必要性。</w:t>
      </w:r>
    </w:p>
    <w:p w14:paraId="785216E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2.课程原有基础与不足：简述课程原有教学模式（如“传统讲授式”“理论为主”），客观分析其与当前人才培养需求的适配性短板。</w:t>
      </w:r>
    </w:p>
    <w:p w14:paraId="65EE982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3" w:name="heading_3"/>
      <w:r>
        <w:rPr>
          <w:rFonts w:hint="eastAsia" w:ascii="黑体" w:hAnsi="黑体" w:eastAsia="黑体" w:cs="黑体"/>
          <w:b w:val="0"/>
          <w:i w:val="0"/>
          <w:sz w:val="28"/>
          <w:szCs w:val="28"/>
        </w:rPr>
        <w:t>（二）核心教学痛点</w:t>
      </w:r>
      <w:r>
        <w:rPr>
          <w:rFonts w:hint="eastAsia" w:ascii="黑体" w:hAnsi="黑体" w:eastAsia="黑体" w:cs="黑体"/>
          <w:b w:val="0"/>
          <w:i w:val="0"/>
          <w:color w:val="FF0000"/>
          <w:sz w:val="28"/>
          <w:szCs w:val="28"/>
        </w:rPr>
        <w:t>（3个，每点配具体表现+数据/案例佐证）</w:t>
      </w:r>
      <w:bookmarkEnd w:id="3"/>
    </w:p>
    <w:p w14:paraId="4C72968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hint="eastAsia" w:asciiTheme="minorEastAsia" w:hAnsiTheme="minorEastAsia" w:eastAsiaTheme="minorEastAsia" w:cstheme="minorEastAsia"/>
          <w:b/>
          <w:color w:val="FF0000"/>
          <w:sz w:val="28"/>
          <w:szCs w:val="28"/>
        </w:rPr>
      </w:pPr>
      <w:r>
        <w:rPr>
          <w:rFonts w:hint="eastAsia" w:asciiTheme="minorEastAsia" w:hAnsiTheme="minorEastAsia" w:eastAsiaTheme="minorEastAsia" w:cstheme="minorEastAsia"/>
          <w:b/>
          <w:sz w:val="28"/>
          <w:szCs w:val="28"/>
        </w:rPr>
        <w:t>1.痛点一：</w:t>
      </w:r>
      <w:r>
        <w:rPr>
          <w:rFonts w:hint="eastAsia" w:asciiTheme="minorEastAsia" w:hAnsiTheme="minorEastAsia" w:eastAsiaTheme="minorEastAsia" w:cstheme="minorEastAsia"/>
          <w:b/>
          <w:color w:val="FF0000"/>
          <w:sz w:val="28"/>
          <w:szCs w:val="28"/>
        </w:rPr>
        <w:t>[标题，如“知识体系固化，与行业需求脱节”]</w:t>
      </w:r>
    </w:p>
    <w:p w14:paraId="3183544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具体表现：[如“课程内容沿用传统教材，70%案例为虚拟场景，未涵盖行业最新技术与标准”]</w:t>
      </w:r>
    </w:p>
    <w:p w14:paraId="48C4610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佐证材料：[如“2023年行业调研显示，85%企业认为学生所学内容与岗位需求匹配度不足；学生问卷显示，72%希望增加真实项目案例”]</w:t>
      </w:r>
    </w:p>
    <w:p w14:paraId="189D17C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hint="eastAsia" w:asciiTheme="minorEastAsia" w:hAnsiTheme="minorEastAsia" w:eastAsiaTheme="minorEastAsia" w:cstheme="minorEastAsia"/>
          <w:b/>
          <w:color w:val="FF0000"/>
          <w:sz w:val="28"/>
          <w:szCs w:val="28"/>
        </w:rPr>
      </w:pPr>
      <w:r>
        <w:rPr>
          <w:rFonts w:hint="eastAsia" w:asciiTheme="minorEastAsia" w:hAnsiTheme="minorEastAsia" w:eastAsiaTheme="minorEastAsia" w:cstheme="minorEastAsia"/>
          <w:b/>
          <w:sz w:val="28"/>
          <w:szCs w:val="28"/>
        </w:rPr>
        <w:t>2.痛点二：</w:t>
      </w:r>
      <w:r>
        <w:rPr>
          <w:rFonts w:hint="eastAsia" w:asciiTheme="minorEastAsia" w:hAnsiTheme="minorEastAsia" w:eastAsiaTheme="minorEastAsia" w:cstheme="minorEastAsia"/>
          <w:b/>
          <w:color w:val="FF0000"/>
          <w:sz w:val="28"/>
          <w:szCs w:val="28"/>
        </w:rPr>
        <w:t>[标题，如“教学方法单一，学生主动性缺失”]</w:t>
      </w:r>
    </w:p>
    <w:p w14:paraId="794ACA5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具体表现：[如“课堂以教师讲授为主，互动环节占比不足15%，学生多处于‘被动接收’状态”]</w:t>
      </w:r>
    </w:p>
    <w:p w14:paraId="34142BA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佐证材料：[如“2022-2023学年课堂互动记录显示，主动发言学生占比仅18%；课后作业迟交率达23%”]</w:t>
      </w:r>
    </w:p>
    <w:p w14:paraId="29C904E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hint="eastAsia" w:asciiTheme="minorEastAsia" w:hAnsiTheme="minorEastAsia" w:eastAsiaTheme="minorEastAsia" w:cstheme="minorEastAsia"/>
          <w:b/>
          <w:color w:val="FF0000"/>
          <w:sz w:val="28"/>
          <w:szCs w:val="28"/>
        </w:rPr>
      </w:pPr>
      <w:r>
        <w:rPr>
          <w:rFonts w:hint="eastAsia" w:asciiTheme="minorEastAsia" w:hAnsiTheme="minorEastAsia" w:eastAsiaTheme="minorEastAsia" w:cstheme="minorEastAsia"/>
          <w:b/>
          <w:sz w:val="28"/>
          <w:szCs w:val="28"/>
        </w:rPr>
        <w:t>3.痛点三：</w:t>
      </w:r>
      <w:r>
        <w:rPr>
          <w:rFonts w:hint="eastAsia" w:asciiTheme="minorEastAsia" w:hAnsiTheme="minorEastAsia" w:eastAsiaTheme="minorEastAsia" w:cstheme="minorEastAsia"/>
          <w:b/>
          <w:color w:val="FF0000"/>
          <w:sz w:val="28"/>
          <w:szCs w:val="28"/>
        </w:rPr>
        <w:t>[标题，如“评价方式单一，素养培育难以落地”]</w:t>
      </w:r>
    </w:p>
    <w:p w14:paraId="4580012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具体表现：[如“评价以期末考试为主（占比70%），侧重知识记忆，忽视实践能力、创新思维及思政素养评价”]</w:t>
      </w:r>
    </w:p>
    <w:p w14:paraId="0E06400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佐证材料：[如“学生访谈显示，83%认为现有评价无法体现自身实践能力；往届毕业生反馈，课程评价未反映职业素养提升”]</w:t>
      </w:r>
    </w:p>
    <w:p w14:paraId="18B3E02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default" w:asciiTheme="minorEastAsia" w:hAnsiTheme="minorEastAsia" w:eastAsiaTheme="minorEastAsia" w:cstheme="minorEastAsia"/>
          <w:b/>
          <w:bCs w:val="0"/>
          <w:color w:val="604A7B" w:themeColor="accent4" w:themeShade="BF"/>
          <w:sz w:val="28"/>
          <w:szCs w:val="28"/>
          <w:lang w:val="en-US" w:eastAsia="zh-CN"/>
        </w:rPr>
      </w:pPr>
      <w:r>
        <w:rPr>
          <w:rFonts w:hint="default" w:asciiTheme="minorEastAsia" w:hAnsiTheme="minorEastAsia" w:eastAsiaTheme="minorEastAsia" w:cstheme="minorEastAsia"/>
          <w:b/>
          <w:bCs w:val="0"/>
          <w:color w:val="604A7B" w:themeColor="accent4" w:themeShade="BF"/>
          <w:sz w:val="28"/>
          <w:szCs w:val="28"/>
          <w:lang w:val="en-US" w:eastAsia="zh-CN"/>
        </w:rPr>
        <w:t>画图建议：可设计“核心教学痛点逻辑映射图”（图2），以“核心痛点”为核心节点，分别延伸“具体表现”“佐证数据”“对应创新方向”三个子节点，通过连线呈现各要素的关联逻辑，直观体现痛点与解决方案的对应关系，替代表格呈现形式。</w:t>
      </w:r>
    </w:p>
    <w:p w14:paraId="6DF6D5A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4" w:name="heading_6"/>
      <w:r>
        <w:rPr>
          <w:rFonts w:hint="eastAsia" w:ascii="黑体" w:hAnsi="黑体" w:eastAsia="黑体" w:cs="黑体"/>
          <w:b w:val="0"/>
          <w:i w:val="0"/>
          <w:sz w:val="28"/>
          <w:szCs w:val="28"/>
        </w:rPr>
        <w:t>三、教学创新理念与目标</w:t>
      </w:r>
      <w:r>
        <w:rPr>
          <w:rFonts w:hint="eastAsia" w:ascii="黑体" w:hAnsi="黑体" w:eastAsia="黑体" w:cs="黑体"/>
          <w:b w:val="0"/>
          <w:i w:val="0"/>
          <w:color w:val="FF0000"/>
          <w:sz w:val="28"/>
          <w:szCs w:val="28"/>
        </w:rPr>
        <w:t>（400字</w:t>
      </w:r>
      <w:r>
        <w:rPr>
          <w:rFonts w:hint="eastAsia" w:ascii="黑体" w:hAnsi="黑体" w:eastAsia="黑体" w:cs="黑体"/>
          <w:b w:val="0"/>
          <w:i w:val="0"/>
          <w:color w:val="FF0000"/>
          <w:sz w:val="28"/>
          <w:szCs w:val="28"/>
          <w:lang w:val="en-US" w:eastAsia="zh-CN"/>
        </w:rPr>
        <w:t>以内</w:t>
      </w:r>
      <w:r>
        <w:rPr>
          <w:rFonts w:hint="eastAsia" w:ascii="黑体" w:hAnsi="黑体" w:eastAsia="黑体" w:cs="黑体"/>
          <w:b w:val="0"/>
          <w:i w:val="0"/>
          <w:color w:val="FF0000"/>
          <w:sz w:val="28"/>
          <w:szCs w:val="28"/>
        </w:rPr>
        <w:t>）</w:t>
      </w:r>
      <w:bookmarkEnd w:id="4"/>
    </w:p>
    <w:p w14:paraId="73517BC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5" w:name="heading_7"/>
      <w:r>
        <w:rPr>
          <w:rFonts w:hint="eastAsia" w:ascii="黑体" w:hAnsi="黑体" w:eastAsia="黑体" w:cs="黑体"/>
          <w:b w:val="0"/>
          <w:i w:val="0"/>
          <w:sz w:val="28"/>
          <w:szCs w:val="28"/>
        </w:rPr>
        <w:t>（一）核心创新理念</w:t>
      </w:r>
      <w:bookmarkEnd w:id="5"/>
    </w:p>
    <w:p w14:paraId="60689B2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提炼1-2句核心理念，需体现大赛导向与课程特色，如“以学生发展为中心，以成果为导向（OBE），构建‘价值引领、知识传授、能力培养’三位一体的教学创新体系”“依托‘技术赋能+场景重构’，实现‘从教为中心到学为中心’的本质转变”。</w:t>
      </w:r>
    </w:p>
    <w:p w14:paraId="224AFF1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简要阐述理念的理论依据、实践逻辑（如结合建构主义学习理论、产教融合理念等），字数控制在150字内。</w:t>
      </w:r>
    </w:p>
    <w:p w14:paraId="445B2D4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6" w:name="heading_8"/>
      <w:r>
        <w:rPr>
          <w:rFonts w:hint="eastAsia" w:ascii="黑体" w:hAnsi="黑体" w:eastAsia="黑体" w:cs="黑体"/>
          <w:b w:val="0"/>
          <w:i w:val="0"/>
          <w:sz w:val="28"/>
          <w:szCs w:val="28"/>
        </w:rPr>
        <w:t>（二）创新目标</w:t>
      </w:r>
      <w:bookmarkEnd w:id="6"/>
    </w:p>
    <w:p w14:paraId="3DADC39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1.学生发展目标：[如“提升学生核心知识掌握度（期末正确率≥90%）、实践应用能力（85%学生能独立完成真实项目）、创新思维与职业素养（思政评价优良率≥95%）”]</w:t>
      </w:r>
    </w:p>
    <w:p w14:paraId="4820028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2.课程建设目标：[如“构建‘行业适配、动态更新’的课程内容体系，形成‘可复制、可推广’的创新教学模式，建成校级/省级优质课程”]</w:t>
      </w:r>
    </w:p>
    <w:p w14:paraId="6CF234C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3.示范推广目标：[如“形成1-2项可迁移的教学创新成果，在同类院校/同专业中推广，带动区域内课程教学改革”]</w:t>
      </w:r>
    </w:p>
    <w:p w14:paraId="6F83C1A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eastAsiaTheme="minorEastAsia" w:cstheme="minorEastAsia"/>
          <w:b/>
          <w:bCs w:val="0"/>
          <w:color w:val="604A7B" w:themeColor="accent4" w:themeShade="BF"/>
          <w:sz w:val="28"/>
          <w:szCs w:val="28"/>
          <w:lang w:val="en-US" w:eastAsia="zh-CN"/>
        </w:rPr>
      </w:pPr>
      <w:r>
        <w:rPr>
          <w:rFonts w:hint="eastAsia" w:asciiTheme="minorEastAsia" w:hAnsiTheme="minorEastAsia" w:eastAsiaTheme="minorEastAsia" w:cstheme="minorEastAsia"/>
          <w:b/>
          <w:bCs w:val="0"/>
          <w:color w:val="604A7B" w:themeColor="accent4" w:themeShade="BF"/>
          <w:sz w:val="28"/>
          <w:szCs w:val="28"/>
          <w:lang w:val="en-US" w:eastAsia="zh-CN"/>
        </w:rPr>
        <w:t>画图建议：可设计“创新理念-目标层级结构图”（图3），以核心理念为顶层节点，向下分层呈现“理论依据”“实践逻辑”，再延伸至“学生发展”“课程建设”“示范推广”三大目标节点，清晰展现理念对目标的支撑关系；也可设计“创新目标量化趋势图”，预判各目标的达成路径与时间节点。</w:t>
      </w:r>
    </w:p>
    <w:p w14:paraId="790D1C1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7" w:name="heading_11"/>
      <w:r>
        <w:rPr>
          <w:rFonts w:hint="eastAsia" w:ascii="黑体" w:hAnsi="黑体" w:eastAsia="黑体" w:cs="黑体"/>
          <w:b w:val="0"/>
          <w:i w:val="0"/>
          <w:sz w:val="28"/>
          <w:szCs w:val="28"/>
        </w:rPr>
        <w:t>四、核心创新内容与实践路径</w:t>
      </w:r>
      <w:r>
        <w:rPr>
          <w:rFonts w:hint="eastAsia" w:ascii="黑体" w:hAnsi="黑体" w:eastAsia="黑体" w:cs="黑体"/>
          <w:b w:val="0"/>
          <w:i w:val="0"/>
          <w:color w:val="FF0000"/>
          <w:sz w:val="28"/>
          <w:szCs w:val="28"/>
        </w:rPr>
        <w:t>（1500字，成果核心部分）</w:t>
      </w:r>
      <w:bookmarkEnd w:id="7"/>
    </w:p>
    <w:p w14:paraId="2B37C75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聚焦3-4个核心创新点</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3个为宜</w:t>
      </w:r>
      <w:r>
        <w:rPr>
          <w:rFonts w:hint="eastAsia" w:asciiTheme="minorEastAsia" w:hAnsiTheme="minorEastAsia" w:cstheme="minorEastAsia"/>
          <w:color w:val="FF0000"/>
          <w:sz w:val="28"/>
          <w:szCs w:val="28"/>
          <w:lang w:eastAsia="zh-CN"/>
        </w:rPr>
        <w:t>）</w:t>
      </w:r>
      <w:r>
        <w:rPr>
          <w:rFonts w:hint="eastAsia" w:asciiTheme="minorEastAsia" w:hAnsiTheme="minorEastAsia" w:eastAsiaTheme="minorEastAsia" w:cstheme="minorEastAsia"/>
          <w:color w:val="FF0000"/>
          <w:sz w:val="28"/>
          <w:szCs w:val="28"/>
        </w:rPr>
        <w:t>，每个创新点需明确“创新内涵+具体实践措施+落地场景”，避免空泛，突出“可操作、可复制”，单个创新点字数控制在400-450字。</w:t>
      </w:r>
    </w:p>
    <w:p w14:paraId="4FBB242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8" w:name="heading_17"/>
      <w:r>
        <w:rPr>
          <w:rFonts w:hint="eastAsia" w:ascii="黑体" w:hAnsi="黑体" w:eastAsia="黑体" w:cs="黑体"/>
          <w:b w:val="0"/>
          <w:i w:val="0"/>
          <w:sz w:val="28"/>
          <w:szCs w:val="28"/>
        </w:rPr>
        <w:t>（一）创新点一：</w:t>
      </w:r>
      <w:r>
        <w:rPr>
          <w:rFonts w:hint="eastAsia" w:ascii="黑体" w:hAnsi="黑体" w:eastAsia="黑体" w:cs="黑体"/>
          <w:b w:val="0"/>
          <w:i w:val="0"/>
          <w:color w:val="FF0000"/>
          <w:sz w:val="28"/>
          <w:szCs w:val="28"/>
        </w:rPr>
        <w:t>[标题，如“理念创新：构建‘价值引领+能力本位’双核心教学观”]</w:t>
      </w:r>
      <w:bookmarkEnd w:id="8"/>
    </w:p>
    <w:p w14:paraId="0D853C1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1.创新内涵：[简要说明理念创新与传统理念的差异，如“突破‘重知识轻素养、重讲授轻互动’的传统理念，将课程思政与能力培养深度融入教学全流程”]</w:t>
      </w:r>
    </w:p>
    <w:p w14:paraId="28670D8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2.实践路径：</w:t>
      </w:r>
    </w:p>
    <w:p w14:paraId="1164703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default" w:asciiTheme="minorEastAsia" w:hAnsiTheme="minorEastAsia" w:eastAsiaTheme="minorEastAsia" w:cstheme="minorEastAsia"/>
          <w:color w:val="FF0000"/>
          <w:sz w:val="28"/>
          <w:szCs w:val="28"/>
          <w:lang w:val="en-US" w:eastAsia="zh-CN"/>
        </w:rPr>
      </w:pPr>
      <w:r>
        <w:rPr>
          <w:rFonts w:hint="default" w:asciiTheme="minorEastAsia" w:hAnsiTheme="minorEastAsia" w:eastAsiaTheme="minorEastAsia" w:cstheme="minorEastAsia"/>
          <w:color w:val="FF0000"/>
          <w:sz w:val="28"/>
          <w:szCs w:val="28"/>
          <w:lang w:val="en-US" w:eastAsia="zh-CN"/>
        </w:rPr>
        <w:t>（1）[具体措施1，如“梳理课程思政融入点，形成‘知识点-思政点-场景点’三维映射表，每个章节匹配1-2个思政元素（如家国情怀、工匠精神）”]</w:t>
      </w:r>
    </w:p>
    <w:p w14:paraId="6F2324C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default" w:asciiTheme="minorEastAsia" w:hAnsiTheme="minorEastAsia" w:eastAsiaTheme="minorEastAsia" w:cstheme="minorEastAsia"/>
          <w:color w:val="FF0000"/>
          <w:sz w:val="28"/>
          <w:szCs w:val="28"/>
          <w:lang w:val="en-US" w:eastAsia="zh-CN"/>
        </w:rPr>
      </w:pPr>
      <w:r>
        <w:rPr>
          <w:rFonts w:hint="default" w:asciiTheme="minorEastAsia" w:hAnsiTheme="minorEastAsia" w:eastAsiaTheme="minorEastAsia" w:cstheme="minorEastAsia"/>
          <w:color w:val="FF0000"/>
          <w:sz w:val="28"/>
          <w:szCs w:val="28"/>
          <w:lang w:val="en-US" w:eastAsia="zh-CN"/>
        </w:rPr>
        <w:t>（2）[具体措施2，如“建立‘能力分层培养体系’，依据学生基础分为‘基础层、提升层、创新层’，设计差异化教学任务”]</w:t>
      </w:r>
    </w:p>
    <w:p w14:paraId="3C62509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3.落地场景：[如“在‘XX知识点’教学中，结合我国行业标杆案例渗透家国情怀；针对基础薄弱学生布置基础实践任务，针对优秀学生安排创新设计项目”]</w:t>
      </w:r>
    </w:p>
    <w:p w14:paraId="5C8B607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eastAsiaTheme="minorEastAsia" w:cstheme="minorEastAsia"/>
          <w:b/>
          <w:bCs w:val="0"/>
          <w:color w:val="604A7B" w:themeColor="accent4" w:themeShade="BF"/>
          <w:sz w:val="28"/>
          <w:szCs w:val="28"/>
        </w:rPr>
      </w:pPr>
      <w:bookmarkStart w:id="9" w:name="heading_18"/>
      <w:r>
        <w:rPr>
          <w:rFonts w:hint="eastAsia" w:asciiTheme="minorEastAsia" w:hAnsiTheme="minorEastAsia" w:cstheme="minorEastAsia"/>
          <w:b/>
          <w:bCs w:val="0"/>
          <w:color w:val="604A7B" w:themeColor="accent4" w:themeShade="BF"/>
          <w:sz w:val="28"/>
          <w:szCs w:val="28"/>
          <w:lang w:val="en-US" w:eastAsia="zh-CN"/>
        </w:rPr>
        <w:t>图表</w:t>
      </w:r>
      <w:r>
        <w:rPr>
          <w:rFonts w:hint="eastAsia" w:asciiTheme="minorEastAsia" w:hAnsiTheme="minorEastAsia" w:eastAsiaTheme="minorEastAsia" w:cstheme="minorEastAsia"/>
          <w:b/>
          <w:bCs w:val="0"/>
          <w:color w:val="604A7B" w:themeColor="accent4" w:themeShade="BF"/>
          <w:sz w:val="28"/>
          <w:szCs w:val="28"/>
        </w:rPr>
        <w:t>建议：可设计“课程思政融入映射表”（表3），列项为“章节”“核心知识点”“思政元素”“落地场景”“评价方式”。</w:t>
      </w:r>
    </w:p>
    <w:p w14:paraId="6B101EF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r>
        <w:rPr>
          <w:rFonts w:hint="eastAsia" w:ascii="黑体" w:hAnsi="黑体" w:eastAsia="黑体" w:cs="黑体"/>
          <w:b w:val="0"/>
          <w:i w:val="0"/>
          <w:sz w:val="28"/>
          <w:szCs w:val="28"/>
        </w:rPr>
        <w:t>（二）创新点二：</w:t>
      </w:r>
      <w:r>
        <w:rPr>
          <w:rFonts w:hint="eastAsia" w:ascii="黑体" w:hAnsi="黑体" w:eastAsia="黑体" w:cs="黑体"/>
          <w:b w:val="0"/>
          <w:i w:val="0"/>
          <w:color w:val="FF0000"/>
          <w:sz w:val="28"/>
          <w:szCs w:val="28"/>
        </w:rPr>
        <w:t>[标题，如“内容创新：构建‘行业导向+动态更新’的模块化内容体系”]</w:t>
      </w:r>
      <w:bookmarkEnd w:id="9"/>
    </w:p>
    <w:p w14:paraId="0A19390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bookmarkStart w:id="10" w:name="heading_19"/>
      <w:r>
        <w:rPr>
          <w:rFonts w:hint="eastAsia" w:asciiTheme="minorEastAsia" w:hAnsiTheme="minorEastAsia" w:eastAsiaTheme="minorEastAsia" w:cstheme="minorEastAsia"/>
          <w:color w:val="FF0000"/>
          <w:sz w:val="28"/>
          <w:szCs w:val="28"/>
        </w:rPr>
        <w:t>1.创新内涵：以行业岗位能力需求为牵引，打破传统章节式内容壁垒，重构“基础筑牢+核心突破+拓展提升”的模块化体系，实现课程内容与行业技术、岗位需求的实时对接，破解内容固化滞后难题。</w:t>
      </w:r>
    </w:p>
    <w:p w14:paraId="525AD88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2.实施路径：</w:t>
      </w:r>
    </w:p>
    <w:p w14:paraId="0E9F6C2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（1）[具体措施1，如“组建‘高校教师+企业专家’内容建设团队，开展行业调研，提炼3-5个核心岗位能力，反向设计课程模块”]</w:t>
      </w:r>
    </w:p>
    <w:p w14:paraId="222EDEE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（2）[具体措施2，如“建立内容动态更新机制，每学期融入5-8个行业最新案例/技术，同步更新线上资源库（微课、案例库、题库）”]</w:t>
      </w:r>
    </w:p>
    <w:p w14:paraId="0C7AFED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（3）[具体措施3，如“开发‘真实项目任务包’，将企业真实需求转化为教学内容，替代60%以上虚拟案例”]</w:t>
      </w:r>
    </w:p>
    <w:p w14:paraId="2B26EA9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3.落地场景：[如“核心模块中的‘XX项目’，直接采用某企业真实项目需求，学生分组完成方案设计、实施、验收，企业专家全程指导”]</w:t>
      </w:r>
    </w:p>
    <w:p w14:paraId="66078E1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eastAsiaTheme="minorEastAsia" w:cstheme="minorEastAsia"/>
          <w:b/>
          <w:bCs w:val="0"/>
          <w:color w:val="604A7B" w:themeColor="accent4" w:themeShade="BF"/>
          <w:sz w:val="28"/>
          <w:szCs w:val="28"/>
        </w:rPr>
      </w:pPr>
      <w:r>
        <w:rPr>
          <w:rFonts w:hint="eastAsia" w:asciiTheme="minorEastAsia" w:hAnsiTheme="minorEastAsia" w:eastAsiaTheme="minorEastAsia" w:cstheme="minorEastAsia"/>
          <w:b/>
          <w:bCs w:val="0"/>
          <w:color w:val="604A7B" w:themeColor="accent4" w:themeShade="BF"/>
          <w:sz w:val="28"/>
          <w:szCs w:val="28"/>
        </w:rPr>
        <w:t>画图建议：可设计“课程内容模块结构图”（图3，流程图），呈现“行业调研→岗位能力提炼→模块重构→动态更新→项目落地”全流程。</w:t>
      </w:r>
    </w:p>
    <w:p w14:paraId="4486304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r>
        <w:rPr>
          <w:rFonts w:hint="eastAsia" w:ascii="黑体" w:hAnsi="黑体" w:eastAsia="黑体" w:cs="黑体"/>
          <w:b w:val="0"/>
          <w:i w:val="0"/>
          <w:sz w:val="28"/>
          <w:szCs w:val="28"/>
        </w:rPr>
        <w:t>（三）创新点三：</w:t>
      </w:r>
      <w:r>
        <w:rPr>
          <w:rFonts w:hint="eastAsia" w:ascii="黑体" w:hAnsi="黑体" w:eastAsia="黑体" w:cs="黑体"/>
          <w:b w:val="0"/>
          <w:i w:val="0"/>
          <w:color w:val="FF0000"/>
          <w:sz w:val="28"/>
          <w:szCs w:val="28"/>
        </w:rPr>
        <w:t>[标题，如“方法创新：打造‘线上线下融合+项目驱动’的沉浸式教学模式”]</w:t>
      </w:r>
      <w:bookmarkEnd w:id="10"/>
    </w:p>
    <w:p w14:paraId="6C99F0B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heme="minorEastAsia" w:hAnsiTheme="minorEastAsia" w:eastAsiaTheme="minorEastAsia" w:cstheme="minorEastAsia"/>
          <w:b w:val="0"/>
          <w:bCs/>
          <w:color w:val="FF0000"/>
          <w:sz w:val="28"/>
          <w:szCs w:val="28"/>
        </w:rPr>
      </w:pPr>
      <w:r>
        <w:rPr>
          <w:rFonts w:hint="eastAsia" w:asciiTheme="minorEastAsia" w:hAnsiTheme="minorEastAsia" w:eastAsiaTheme="minorEastAsia" w:cstheme="minorEastAsia"/>
          <w:b w:val="0"/>
          <w:bCs/>
          <w:color w:val="FF0000"/>
          <w:sz w:val="28"/>
          <w:szCs w:val="28"/>
        </w:rPr>
        <w:t>1.创新内涵：以学生主动学习为核心，整合翻转课堂、PBL、案例驱动等多元方法，搭建“课前预习-课中探究-课后拓展”全链路教学闭环，结合技术赋能打造沉浸式学习场景，转变传统“教师主导、学生被动”的教学状态。</w:t>
      </w:r>
    </w:p>
    <w:p w14:paraId="1A2DE90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heme="minorEastAsia" w:hAnsiTheme="minorEastAsia" w:eastAsiaTheme="minorEastAsia" w:cstheme="minorEastAsia"/>
          <w:b w:val="0"/>
          <w:bCs/>
          <w:color w:val="FF0000"/>
          <w:sz w:val="28"/>
          <w:szCs w:val="28"/>
        </w:rPr>
      </w:pPr>
      <w:r>
        <w:rPr>
          <w:rFonts w:hint="eastAsia" w:asciiTheme="minorEastAsia" w:hAnsiTheme="minorEastAsia" w:eastAsiaTheme="minorEastAsia" w:cstheme="minorEastAsia"/>
          <w:b w:val="0"/>
          <w:bCs/>
          <w:color w:val="FF0000"/>
          <w:sz w:val="28"/>
          <w:szCs w:val="28"/>
        </w:rPr>
        <w:t>2.落地策略：</w:t>
      </w:r>
    </w:p>
    <w:p w14:paraId="3AA1DDE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heme="minorEastAsia" w:hAnsiTheme="minorEastAsia" w:eastAsiaTheme="minorEastAsia" w:cstheme="minorEastAsia"/>
          <w:b w:val="0"/>
          <w:bCs/>
          <w:color w:val="FF0000"/>
          <w:sz w:val="28"/>
          <w:szCs w:val="28"/>
        </w:rPr>
      </w:pPr>
      <w:r>
        <w:rPr>
          <w:rFonts w:hint="eastAsia" w:asciiTheme="minorEastAsia" w:hAnsiTheme="minorEastAsia" w:eastAsiaTheme="minorEastAsia" w:cstheme="minorEastAsia"/>
          <w:b w:val="0"/>
          <w:bCs/>
          <w:color w:val="FF0000"/>
          <w:sz w:val="28"/>
          <w:szCs w:val="28"/>
        </w:rPr>
        <w:t>（1）课前：[如“通过线上平台发布微课、预习任务、行业案例，收集学生疑问，精准设计课中教学内容”]</w:t>
      </w:r>
    </w:p>
    <w:p w14:paraId="6766683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heme="minorEastAsia" w:hAnsiTheme="minorEastAsia" w:eastAsiaTheme="minorEastAsia" w:cstheme="minorEastAsia"/>
          <w:b w:val="0"/>
          <w:bCs/>
          <w:color w:val="FF0000"/>
          <w:sz w:val="28"/>
          <w:szCs w:val="28"/>
        </w:rPr>
      </w:pPr>
      <w:r>
        <w:rPr>
          <w:rFonts w:hint="eastAsia" w:asciiTheme="minorEastAsia" w:hAnsiTheme="minorEastAsia" w:eastAsiaTheme="minorEastAsia" w:cstheme="minorEastAsia"/>
          <w:b w:val="0"/>
          <w:bCs/>
          <w:color w:val="FF0000"/>
          <w:sz w:val="28"/>
          <w:szCs w:val="28"/>
        </w:rPr>
        <w:t>（2）课中：[如“采用‘5分钟情境导入+20分钟核心精讲+15分钟项目探究+5分钟小结反馈’的时间分配，开展小组合作、成果展示、即时互动”]</w:t>
      </w:r>
    </w:p>
    <w:p w14:paraId="281FE9F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heme="minorEastAsia" w:hAnsiTheme="minorEastAsia" w:eastAsiaTheme="minorEastAsia" w:cstheme="minorEastAsia"/>
          <w:b w:val="0"/>
          <w:bCs/>
          <w:color w:val="FF0000"/>
          <w:sz w:val="28"/>
          <w:szCs w:val="28"/>
        </w:rPr>
      </w:pPr>
      <w:r>
        <w:rPr>
          <w:rFonts w:hint="eastAsia" w:asciiTheme="minorEastAsia" w:hAnsiTheme="minorEastAsia" w:eastAsiaTheme="minorEastAsia" w:cstheme="minorEastAsia"/>
          <w:b w:val="0"/>
          <w:bCs/>
          <w:color w:val="FF0000"/>
          <w:sz w:val="28"/>
          <w:szCs w:val="28"/>
        </w:rPr>
        <w:t>（3）课后：[如“布置分层拓展任务，通过线上平台进行个性化答疑、成果点评，形成‘学习-反馈-改进’闭环”]</w:t>
      </w:r>
    </w:p>
    <w:p w14:paraId="51312FF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heme="minorEastAsia" w:hAnsiTheme="minorEastAsia" w:eastAsiaTheme="minorEastAsia" w:cstheme="minorEastAsia"/>
          <w:b w:val="0"/>
          <w:bCs/>
          <w:color w:val="FF0000"/>
          <w:sz w:val="28"/>
          <w:szCs w:val="28"/>
        </w:rPr>
      </w:pPr>
      <w:r>
        <w:rPr>
          <w:rFonts w:hint="eastAsia" w:asciiTheme="minorEastAsia" w:hAnsiTheme="minorEastAsia" w:eastAsiaTheme="minorEastAsia" w:cstheme="minorEastAsia"/>
          <w:b w:val="0"/>
          <w:bCs/>
          <w:color w:val="FF0000"/>
          <w:sz w:val="28"/>
          <w:szCs w:val="28"/>
        </w:rPr>
        <w:t>（4）技术赋能：[如“利用虚拟仿真软件、线上互动平台、直播工具等，拓展教学场景，实现‘线上线下无缝衔接’”]</w:t>
      </w:r>
    </w:p>
    <w:p w14:paraId="7C07500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val="0"/>
          <w:bCs/>
          <w:color w:val="FF0000"/>
          <w:sz w:val="28"/>
          <w:szCs w:val="28"/>
        </w:rPr>
        <w:t>3. 落地场景：[如“在‘XX章节’教学中，采用翻转课堂模式，课前学生线上学习基础理论，课中分组完成项目探究，企业专家线上点评，课后线上提交拓展成果”]</w:t>
      </w:r>
    </w:p>
    <w:p w14:paraId="1B708C9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画图建议：可设计“教学流程闭环图”（图4），标注“课前-课中-课后”各环节核心任务、技术支撑及反馈节点。</w:t>
      </w:r>
    </w:p>
    <w:p w14:paraId="309CFCA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11" w:name="heading_20"/>
      <w:r>
        <w:rPr>
          <w:rFonts w:hint="eastAsia" w:ascii="黑体" w:hAnsi="黑体" w:eastAsia="黑体" w:cs="黑体"/>
          <w:b w:val="0"/>
          <w:i w:val="0"/>
          <w:sz w:val="28"/>
          <w:szCs w:val="28"/>
        </w:rPr>
        <w:t>（四）创新点四：</w:t>
      </w:r>
      <w:r>
        <w:rPr>
          <w:rFonts w:hint="eastAsia" w:ascii="黑体" w:hAnsi="黑体" w:eastAsia="黑体" w:cs="黑体"/>
          <w:b w:val="0"/>
          <w:i w:val="0"/>
          <w:color w:val="FF0000"/>
          <w:sz w:val="28"/>
          <w:szCs w:val="28"/>
        </w:rPr>
        <w:t>[标题，如“评价创新：构建‘三维多主体’全流程评价体系”]</w:t>
      </w:r>
      <w:bookmarkEnd w:id="11"/>
    </w:p>
    <w:p w14:paraId="2549176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创新内涵：打破“单一结果、教师独评”的传统模式，构建“知识掌握-过程表现-创新实践”三维评价维度，引入学生、同伴、行业专家多元评价主体，形成“评价-反馈-改进”的动态优化机制，实现评价与素养培育精准匹配。</w:t>
      </w:r>
    </w:p>
    <w:p w14:paraId="3356D8A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2.构建方案：</w:t>
      </w:r>
    </w:p>
    <w:p w14:paraId="2551A34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（1）评价维度：[如“知识掌握（30%）：课堂测验、课后作业、期末考试；过程表现（40%）：课前预习、课堂互动、小组合作；创新实践（30%）：项目成果、创新设计、竞赛参与”]</w:t>
      </w:r>
    </w:p>
    <w:p w14:paraId="36A969A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（2）评价主体：[如“教师评价（60%）、学生自评（15%）、同伴互评（15%）、行业专家评价（10%）”]</w:t>
      </w:r>
    </w:p>
    <w:p w14:paraId="194D377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（3）反馈机制：[如“每节课即时反馈、每月阶段性反馈、期末总结性反馈，通过线上平台、一对一访谈等方式，精准指导学生改进”]</w:t>
      </w:r>
    </w:p>
    <w:p w14:paraId="4229A44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3.落地场景：[如“学生‘XX项目’成果，由教师点评（60分）、小组互评（15分）、学生自评（15分）、企业专家点评（10分），综合得分作为实践环节成绩，企业专家提出针对性改进建议”]</w:t>
      </w:r>
    </w:p>
    <w:p w14:paraId="0B94B01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制表建议：可设计“多维评价体系表”（表4），列项为“评价维度”“权重占比”“评价主体”“评价内容”“反馈方式”。</w:t>
      </w:r>
    </w:p>
    <w:p w14:paraId="7E67C50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12" w:name="heading_24"/>
      <w:r>
        <w:rPr>
          <w:rFonts w:hint="eastAsia" w:ascii="黑体" w:hAnsi="黑体" w:eastAsia="黑体" w:cs="黑体"/>
          <w:b w:val="0"/>
          <w:i w:val="0"/>
          <w:sz w:val="28"/>
          <w:szCs w:val="28"/>
        </w:rPr>
        <w:t>五、教学创新成效</w:t>
      </w:r>
      <w:r>
        <w:rPr>
          <w:rFonts w:hint="eastAsia" w:ascii="黑体" w:hAnsi="黑体" w:eastAsia="黑体" w:cs="黑体"/>
          <w:b w:val="0"/>
          <w:i w:val="0"/>
          <w:color w:val="FF0000"/>
          <w:sz w:val="28"/>
          <w:szCs w:val="28"/>
        </w:rPr>
        <w:t>（</w:t>
      </w:r>
      <w:r>
        <w:rPr>
          <w:rFonts w:hint="eastAsia" w:ascii="黑体" w:hAnsi="黑体" w:eastAsia="黑体" w:cs="黑体"/>
          <w:b w:val="0"/>
          <w:i w:val="0"/>
          <w:color w:val="FF0000"/>
          <w:sz w:val="28"/>
          <w:szCs w:val="28"/>
          <w:lang w:val="en-US" w:eastAsia="zh-CN"/>
        </w:rPr>
        <w:t>6</w:t>
      </w:r>
      <w:r>
        <w:rPr>
          <w:rFonts w:hint="eastAsia" w:ascii="黑体" w:hAnsi="黑体" w:eastAsia="黑体" w:cs="黑体"/>
          <w:b w:val="0"/>
          <w:i w:val="0"/>
          <w:color w:val="FF0000"/>
          <w:sz w:val="28"/>
          <w:szCs w:val="28"/>
        </w:rPr>
        <w:t>00字</w:t>
      </w:r>
      <w:r>
        <w:rPr>
          <w:rFonts w:hint="eastAsia" w:ascii="黑体" w:hAnsi="黑体" w:eastAsia="黑体" w:cs="黑体"/>
          <w:b w:val="0"/>
          <w:i w:val="0"/>
          <w:color w:val="FF0000"/>
          <w:sz w:val="28"/>
          <w:szCs w:val="28"/>
          <w:lang w:val="en-US" w:eastAsia="zh-CN"/>
        </w:rPr>
        <w:t>以内</w:t>
      </w:r>
      <w:r>
        <w:rPr>
          <w:rFonts w:hint="eastAsia" w:ascii="黑体" w:hAnsi="黑体" w:eastAsia="黑体" w:cs="黑体"/>
          <w:b w:val="0"/>
          <w:i w:val="0"/>
          <w:color w:val="FF0000"/>
          <w:sz w:val="28"/>
          <w:szCs w:val="28"/>
        </w:rPr>
        <w:t>，需真实可验证）</w:t>
      </w:r>
      <w:bookmarkEnd w:id="12"/>
    </w:p>
    <w:p w14:paraId="77D6444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从学生、课程、教师、示范四个维度呈现成效，每项成效需配量化数据或质性佐证，避免主观描述。</w:t>
      </w:r>
    </w:p>
    <w:p w14:paraId="43A2189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13" w:name="heading_25"/>
      <w:r>
        <w:rPr>
          <w:rFonts w:hint="eastAsia" w:ascii="黑体" w:hAnsi="黑体" w:eastAsia="黑体" w:cs="黑体"/>
          <w:b w:val="0"/>
          <w:i w:val="0"/>
          <w:sz w:val="28"/>
          <w:szCs w:val="28"/>
        </w:rPr>
        <w:t>（一）学生发展成效</w:t>
      </w:r>
      <w:bookmarkEnd w:id="13"/>
    </w:p>
    <w:p w14:paraId="27AB675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1.知识掌握：[如“期末核心知识点正确率从改革前的68%提升至92%；课堂测验平均分从75分提升至88分”]</w:t>
      </w:r>
    </w:p>
    <w:p w14:paraId="2F67919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2.能力提升：[如“85%学生能独立完成真实项目，较改革前提升40%；学生参与学科竞赛获奖15项，较改革前增长3倍”]</w:t>
      </w:r>
    </w:p>
    <w:p w14:paraId="4A98083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3.素养培育：[如“课程思政评价优良率达96%；学生就业竞争力提升，就业率从82%提升至95%，用人单位满意度达93%”]</w:t>
      </w:r>
    </w:p>
    <w:p w14:paraId="3966C4F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画图建议：可设计“学生能力增值雷达图”（图5），覆盖“知识掌握、实践能力、创新思维、职业素养”4个维度，对比改革前后数据；或设计“学生成效对比表”（表5）。</w:t>
      </w:r>
    </w:p>
    <w:p w14:paraId="4EA7D62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佐证图片：[如“学生成绩对比表、竞赛获奖证书、用人单位反馈函、学生反思报告节选”]</w:t>
      </w:r>
    </w:p>
    <w:p w14:paraId="5447D92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14" w:name="heading_26"/>
      <w:r>
        <w:rPr>
          <w:rFonts w:hint="eastAsia" w:ascii="黑体" w:hAnsi="黑体" w:eastAsia="黑体" w:cs="黑体"/>
          <w:b w:val="0"/>
          <w:i w:val="0"/>
          <w:sz w:val="28"/>
          <w:szCs w:val="28"/>
        </w:rPr>
        <w:t>（二）课程建设成效</w:t>
      </w:r>
      <w:bookmarkEnd w:id="14"/>
    </w:p>
    <w:p w14:paraId="4029367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color w:val="FF0000"/>
          <w:sz w:val="28"/>
          <w:szCs w:val="28"/>
        </w:rPr>
        <w:t>.课程质量：[如“课程获评校级优质课程/省级一流本科课程；线上资源库访问量达5000+人次”]</w:t>
      </w:r>
    </w:p>
    <w:p w14:paraId="5F24E04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2.资源建设：[如“开发微课30个、真实项目任务包12个、评价量表5套，形成完整的课程资源体系”]</w:t>
      </w:r>
    </w:p>
    <w:p w14:paraId="6642BE8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佐证图片：[如“课程获奖证书、资源库建设清单、教学大纲修订版”]</w:t>
      </w:r>
    </w:p>
    <w:p w14:paraId="252550C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15" w:name="heading_27"/>
      <w:r>
        <w:rPr>
          <w:rFonts w:hint="eastAsia" w:ascii="黑体" w:hAnsi="黑体" w:eastAsia="黑体" w:cs="黑体"/>
          <w:b w:val="0"/>
          <w:i w:val="0"/>
          <w:sz w:val="28"/>
          <w:szCs w:val="28"/>
        </w:rPr>
        <w:t>（三）教师发展成效</w:t>
      </w:r>
      <w:bookmarkEnd w:id="15"/>
    </w:p>
    <w:p w14:paraId="03F092A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[如“教师获评校级教学名师；发表教学改革论文3篇；主持校级/省级教学改革项目2项；在同类院校开展教学示范课5场”]</w:t>
      </w:r>
    </w:p>
    <w:p w14:paraId="110A938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佐证图片：[如“教师获奖证书、论文收录证明、项目立项书、示范课证明”]</w:t>
      </w:r>
    </w:p>
    <w:p w14:paraId="750A797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16" w:name="heading_28"/>
      <w:r>
        <w:rPr>
          <w:rFonts w:hint="eastAsia" w:ascii="黑体" w:hAnsi="黑体" w:eastAsia="黑体" w:cs="黑体"/>
          <w:b w:val="0"/>
          <w:i w:val="0"/>
          <w:sz w:val="28"/>
          <w:szCs w:val="28"/>
        </w:rPr>
        <w:t>（四）示范辐射成效</w:t>
      </w:r>
      <w:bookmarkEnd w:id="16"/>
    </w:p>
    <w:p w14:paraId="5A61811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[如“成果在3所同类院校推广应用，覆盖学生2000+人；接受同行调研10余次，形成《教学创新实践指南》供同行参考”]</w:t>
      </w:r>
    </w:p>
    <w:p w14:paraId="49F6453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佐证图片：[如“推广合作协议、同行反馈意见、实践指南文本”]</w:t>
      </w:r>
    </w:p>
    <w:p w14:paraId="0A8280D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画图建议：可设计“佐证材料分类关联图”（图5），以“学生发展”“课程建设”“教师发展”“示范辐射”四大成效维度为一级节点，每个节点延伸对应的“具体佐证材料”“材料核心价值”子节点，通过颜色区分材料类型，清晰呈现佐证材料与成效的对应关联。</w:t>
      </w:r>
    </w:p>
    <w:p w14:paraId="4530642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17" w:name="heading_33"/>
      <w:r>
        <w:rPr>
          <w:rFonts w:hint="eastAsia" w:ascii="黑体" w:hAnsi="黑体" w:eastAsia="黑体" w:cs="黑体"/>
          <w:b w:val="0"/>
          <w:i w:val="0"/>
          <w:sz w:val="28"/>
          <w:szCs w:val="28"/>
        </w:rPr>
        <w:t>六、创新特色与示范推广价值</w:t>
      </w:r>
      <w:r>
        <w:rPr>
          <w:rFonts w:hint="eastAsia" w:ascii="黑体" w:hAnsi="黑体" w:eastAsia="黑体" w:cs="黑体"/>
          <w:b w:val="0"/>
          <w:i w:val="0"/>
          <w:color w:val="FF0000"/>
          <w:sz w:val="28"/>
          <w:szCs w:val="28"/>
        </w:rPr>
        <w:t>（400字</w:t>
      </w:r>
      <w:r>
        <w:rPr>
          <w:rFonts w:hint="eastAsia" w:ascii="黑体" w:hAnsi="黑体" w:eastAsia="黑体" w:cs="黑体"/>
          <w:b w:val="0"/>
          <w:i w:val="0"/>
          <w:color w:val="FF0000"/>
          <w:sz w:val="28"/>
          <w:szCs w:val="28"/>
          <w:lang w:val="en-US" w:eastAsia="zh-CN"/>
        </w:rPr>
        <w:t>以内</w:t>
      </w:r>
      <w:r>
        <w:rPr>
          <w:rFonts w:hint="eastAsia" w:ascii="黑体" w:hAnsi="黑体" w:eastAsia="黑体" w:cs="黑体"/>
          <w:b w:val="0"/>
          <w:i w:val="0"/>
          <w:color w:val="FF0000"/>
          <w:sz w:val="28"/>
          <w:szCs w:val="28"/>
        </w:rPr>
        <w:t>）</w:t>
      </w:r>
      <w:bookmarkEnd w:id="17"/>
    </w:p>
    <w:p w14:paraId="5862DC9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color w:val="FF0000"/>
          <w:sz w:val="28"/>
          <w:szCs w:val="28"/>
        </w:rPr>
      </w:pPr>
      <w:bookmarkStart w:id="18" w:name="heading_34"/>
      <w:r>
        <w:rPr>
          <w:rFonts w:hint="eastAsia" w:ascii="黑体" w:hAnsi="黑体" w:eastAsia="黑体" w:cs="黑体"/>
          <w:b w:val="0"/>
          <w:i w:val="0"/>
          <w:sz w:val="28"/>
          <w:szCs w:val="28"/>
        </w:rPr>
        <w:t>（一）创新特色</w:t>
      </w:r>
      <w:r>
        <w:rPr>
          <w:rFonts w:hint="eastAsia" w:ascii="黑体" w:hAnsi="黑体" w:eastAsia="黑体" w:cs="黑体"/>
          <w:b w:val="0"/>
          <w:i w:val="0"/>
          <w:color w:val="FF0000"/>
          <w:sz w:val="28"/>
          <w:szCs w:val="28"/>
        </w:rPr>
        <w:t>（突出与同类成果的差异，体现一等奖水平）</w:t>
      </w:r>
      <w:bookmarkEnd w:id="18"/>
    </w:p>
    <w:p w14:paraId="45A2101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1.[特色一，如“系统性：构建‘理念-内容-方法-评价’四维协同创新体系，而非单一环节创新，形成完整的教学改革闭环”]</w:t>
      </w:r>
    </w:p>
    <w:p w14:paraId="2264CBD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2.[特色二，如“实践性：深度融合产教资源，所有创新点均有真实教学场景支撑，成效可验证、可复制，避免‘纸上谈兵’”]</w:t>
      </w:r>
    </w:p>
    <w:p w14:paraId="5402384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3.[特色三，如“针对性：精准对接教学痛点与行业需求，创新内容与学生特点高度适配，真正实现‘以学生为中心’”]</w:t>
      </w:r>
    </w:p>
    <w:p w14:paraId="7D60D9D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画图建议：可设计“创新特色差异化逻辑图”（图6），以“核心特色”为中心，分别向“系统性”“实践性”“针对性”三个方向延伸，每个特色分支标注“支撑依据”“差异化亮点”“实践案例”子要素，直观体现成果与同类成果的差异优势。</w:t>
      </w:r>
    </w:p>
    <w:p w14:paraId="198DDDB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19" w:name="heading_35"/>
      <w:r>
        <w:rPr>
          <w:rFonts w:hint="eastAsia" w:ascii="黑体" w:hAnsi="黑体" w:eastAsia="黑体" w:cs="黑体"/>
          <w:b w:val="0"/>
          <w:i w:val="0"/>
          <w:sz w:val="28"/>
          <w:szCs w:val="28"/>
        </w:rPr>
        <w:t>（二）示范推广价值</w:t>
      </w:r>
      <w:bookmarkEnd w:id="19"/>
    </w:p>
    <w:p w14:paraId="24CC8FF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1.应用场景：[如“适用于应用型本科/高职各类专业核心课程，尤其适合需要强化实践能力、融入课程思政的课程”]</w:t>
      </w:r>
    </w:p>
    <w:p w14:paraId="7209D4C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2.推广条件：[如“所需资源（数字化平</w:t>
      </w:r>
      <w:bookmarkStart w:id="44" w:name="_GoBack"/>
      <w:bookmarkEnd w:id="44"/>
      <w:r>
        <w:rPr>
          <w:rFonts w:hint="eastAsia" w:asciiTheme="minorEastAsia" w:hAnsiTheme="minorEastAsia" w:eastAsiaTheme="minorEastAsia" w:cstheme="minorEastAsia"/>
          <w:color w:val="FF0000"/>
          <w:sz w:val="28"/>
          <w:szCs w:val="28"/>
        </w:rPr>
        <w:t>台、企业合作资源）易获取；实施流程清晰，教师经简单培训即可掌握；成本可控，无需大量额外投入”]</w:t>
      </w:r>
    </w:p>
    <w:p w14:paraId="6C7B52A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3.推广路径：[如“通过教学研讨会、示范课、成果汇编、线上平台等形式，在同类院校/同专业推广；与企业合作，将创新模式融入员工培训，拓展应用场景”]</w:t>
      </w:r>
    </w:p>
    <w:p w14:paraId="7615533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bookmarkStart w:id="20" w:name="heading_38"/>
      <w:r>
        <w:rPr>
          <w:rFonts w:hint="eastAsia" w:ascii="黑体" w:hAnsi="黑体" w:eastAsia="黑体" w:cs="黑体"/>
          <w:b w:val="0"/>
          <w:i w:val="0"/>
          <w:sz w:val="28"/>
          <w:szCs w:val="28"/>
        </w:rPr>
        <w:t>七、未来计划（200字</w:t>
      </w:r>
      <w:r>
        <w:rPr>
          <w:rFonts w:hint="eastAsia" w:ascii="黑体" w:hAnsi="黑体" w:eastAsia="黑体" w:cs="黑体"/>
          <w:b w:val="0"/>
          <w:i w:val="0"/>
          <w:sz w:val="28"/>
          <w:szCs w:val="28"/>
          <w:lang w:val="en-US" w:eastAsia="zh-CN"/>
        </w:rPr>
        <w:t>以内</w:t>
      </w:r>
      <w:r>
        <w:rPr>
          <w:rFonts w:hint="eastAsia" w:ascii="黑体" w:hAnsi="黑体" w:eastAsia="黑体" w:cs="黑体"/>
          <w:b w:val="0"/>
          <w:i w:val="0"/>
          <w:sz w:val="28"/>
          <w:szCs w:val="28"/>
        </w:rPr>
        <w:t>）</w:t>
      </w:r>
      <w:bookmarkEnd w:id="20"/>
    </w:p>
    <w:p w14:paraId="5F5D0D4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rPr>
      </w:pPr>
      <w:r>
        <w:rPr>
          <w:rFonts w:hint="eastAsia" w:ascii="黑体" w:hAnsi="黑体" w:eastAsia="黑体" w:cs="黑体"/>
          <w:b w:val="0"/>
          <w:i w:val="0"/>
          <w:sz w:val="28"/>
          <w:szCs w:val="28"/>
          <w:lang w:eastAsia="zh-CN"/>
        </w:rPr>
        <w:t>（</w:t>
      </w:r>
      <w:r>
        <w:rPr>
          <w:rFonts w:hint="eastAsia" w:ascii="黑体" w:hAnsi="黑体" w:eastAsia="黑体" w:cs="黑体"/>
          <w:b w:val="0"/>
          <w:i w:val="0"/>
          <w:sz w:val="28"/>
          <w:szCs w:val="28"/>
          <w:lang w:val="en-US" w:eastAsia="zh-CN"/>
        </w:rPr>
        <w:t>一</w:t>
      </w:r>
      <w:r>
        <w:rPr>
          <w:rFonts w:hint="eastAsia" w:ascii="黑体" w:hAnsi="黑体" w:eastAsia="黑体" w:cs="黑体"/>
          <w:b w:val="0"/>
          <w:i w:val="0"/>
          <w:sz w:val="28"/>
          <w:szCs w:val="28"/>
          <w:lang w:eastAsia="zh-CN"/>
        </w:rPr>
        <w:t>）</w:t>
      </w:r>
      <w:r>
        <w:rPr>
          <w:rFonts w:hint="eastAsia" w:ascii="黑体" w:hAnsi="黑体" w:eastAsia="黑体" w:cs="黑体"/>
          <w:b w:val="0"/>
          <w:i w:val="0"/>
          <w:sz w:val="28"/>
          <w:szCs w:val="28"/>
        </w:rPr>
        <w:t>短期（1-2年）</w:t>
      </w:r>
    </w:p>
    <w:p w14:paraId="40D104D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[如“优化个性化教学方案，建立学生学习画像；深化数字化教学工具应用，开发AI辅助教学功能；扩大成果推广范围，覆盖5所同类院校”]</w:t>
      </w:r>
    </w:p>
    <w:p w14:paraId="757C49A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黑体" w:hAnsi="黑体" w:eastAsia="黑体" w:cs="黑体"/>
          <w:b w:val="0"/>
          <w:i w:val="0"/>
          <w:sz w:val="28"/>
          <w:szCs w:val="28"/>
          <w:lang w:eastAsia="zh-CN"/>
        </w:rPr>
      </w:pPr>
      <w:r>
        <w:rPr>
          <w:rFonts w:hint="eastAsia" w:ascii="黑体" w:hAnsi="黑体" w:eastAsia="黑体" w:cs="黑体"/>
          <w:b w:val="0"/>
          <w:i w:val="0"/>
          <w:sz w:val="28"/>
          <w:szCs w:val="28"/>
          <w:lang w:eastAsia="zh-CN"/>
        </w:rPr>
        <w:t>（</w:t>
      </w:r>
      <w:r>
        <w:rPr>
          <w:rFonts w:hint="eastAsia" w:ascii="黑体" w:hAnsi="黑体" w:eastAsia="黑体" w:cs="黑体"/>
          <w:b w:val="0"/>
          <w:i w:val="0"/>
          <w:sz w:val="28"/>
          <w:szCs w:val="28"/>
          <w:lang w:val="en-US" w:eastAsia="zh-CN"/>
        </w:rPr>
        <w:t>二</w:t>
      </w:r>
      <w:r>
        <w:rPr>
          <w:rFonts w:hint="eastAsia" w:ascii="黑体" w:hAnsi="黑体" w:eastAsia="黑体" w:cs="黑体"/>
          <w:b w:val="0"/>
          <w:i w:val="0"/>
          <w:sz w:val="28"/>
          <w:szCs w:val="28"/>
          <w:lang w:eastAsia="zh-CN"/>
        </w:rPr>
        <w:t>）长期（3-5年）</w:t>
      </w:r>
    </w:p>
    <w:p w14:paraId="6FD2506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color w:val="FF0000"/>
          <w:sz w:val="28"/>
          <w:szCs w:val="28"/>
        </w:rPr>
      </w:pPr>
      <w:r>
        <w:rPr>
          <w:rFonts w:hint="eastAsia" w:asciiTheme="minorEastAsia" w:hAnsiTheme="minorEastAsia" w:eastAsiaTheme="minorEastAsia" w:cstheme="minorEastAsia"/>
          <w:color w:val="FF0000"/>
          <w:sz w:val="28"/>
          <w:szCs w:val="28"/>
        </w:rPr>
        <w:t>[如“构建‘校校合作+校企协同’的成果推广联盟；形成系列化教学创新成果（教材、资源库、培训体系）；申报国家级教学成果奖”]</w:t>
      </w:r>
    </w:p>
    <w:p w14:paraId="1361EFB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r>
        <w:rPr>
          <w:rFonts w:hint="eastAsia" w:asciiTheme="minorEastAsia" w:hAnsiTheme="minorEastAsia" w:cstheme="minorEastAsia"/>
          <w:b/>
          <w:bCs w:val="0"/>
          <w:color w:val="604A7B" w:themeColor="accent4" w:themeShade="BF"/>
          <w:sz w:val="28"/>
          <w:szCs w:val="28"/>
          <w:lang w:val="en-US" w:eastAsia="zh-CN"/>
        </w:rPr>
        <w:t>画图建议：可设计“未来计划推进甘特图”（图7），横轴为时间轴（1-5年），纵轴为“短期任务”“长期任务”，标注各核心任务的起止时间、完成节点及责任主体，直观呈现计划推进节奏；也可设计“未来计划层级路径图”，分层展示任务、目标、保障措施的关联逻辑。</w:t>
      </w:r>
    </w:p>
    <w:p w14:paraId="10699E5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7DEFAD0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52C208D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3C824CD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45A861A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6FE898B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0BDF632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32FC6D4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60E19B4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hint="eastAsia" w:asciiTheme="minorEastAsia" w:hAnsiTheme="minorEastAsia" w:cstheme="minorEastAsia"/>
          <w:b/>
          <w:bCs w:val="0"/>
          <w:color w:val="604A7B" w:themeColor="accent4" w:themeShade="BF"/>
          <w:sz w:val="28"/>
          <w:szCs w:val="28"/>
          <w:lang w:val="en-US" w:eastAsia="zh-CN"/>
        </w:rPr>
      </w:pPr>
    </w:p>
    <w:p w14:paraId="1069FAB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outlineLvl w:val="0"/>
        <w:rPr>
          <w:rFonts w:hint="eastAsia" w:ascii="黑体" w:hAnsi="黑体" w:eastAsia="黑体" w:cs="黑体"/>
          <w:b/>
          <w:sz w:val="44"/>
          <w:szCs w:val="44"/>
        </w:rPr>
      </w:pPr>
      <w:bookmarkStart w:id="21" w:name="heading_41"/>
      <w:r>
        <w:rPr>
          <w:rFonts w:hint="eastAsia" w:ascii="黑体" w:hAnsi="黑体" w:eastAsia="黑体" w:cs="黑体"/>
          <w:b/>
          <w:sz w:val="44"/>
          <w:szCs w:val="44"/>
        </w:rPr>
        <w:t>优秀范本节选</w:t>
      </w:r>
    </w:p>
    <w:p w14:paraId="28A9109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0" w:firstLineChars="0"/>
        <w:jc w:val="center"/>
        <w:textAlignment w:val="auto"/>
        <w:outlineLvl w:val="0"/>
        <w:rPr>
          <w:rFonts w:hint="eastAsia" w:ascii="黑体" w:hAnsi="黑体" w:eastAsia="黑体" w:cs="黑体"/>
          <w:b/>
          <w:color w:val="FF0000"/>
          <w:sz w:val="44"/>
          <w:szCs w:val="44"/>
        </w:rPr>
      </w:pPr>
      <w:r>
        <w:rPr>
          <w:rFonts w:hint="eastAsia" w:ascii="黑体" w:hAnsi="黑体" w:eastAsia="黑体" w:cs="黑体"/>
          <w:b/>
          <w:color w:val="FF0000"/>
          <w:sz w:val="44"/>
          <w:szCs w:val="44"/>
        </w:rPr>
        <w:t>分学科赛道，基于国赛一等奖真实案例</w:t>
      </w:r>
      <w:bookmarkEnd w:id="21"/>
    </w:p>
    <w:p w14:paraId="6626D4A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heme="minorEastAsia" w:hAnsiTheme="minorEastAsia" w:eastAsiaTheme="minorEastAsia" w:cstheme="minorEastAsia"/>
          <w:sz w:val="28"/>
          <w:szCs w:val="28"/>
        </w:rPr>
      </w:pPr>
    </w:p>
    <w:p w14:paraId="0F58CB6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default" w:asciiTheme="minorEastAsia" w:hAnsiTheme="minorEastAsia" w:eastAsiaTheme="minorEastAsia" w:cstheme="minorEastAsia"/>
          <w:color w:val="FF0000"/>
          <w:sz w:val="28"/>
          <w:szCs w:val="28"/>
          <w:lang w:val="en-US" w:eastAsia="zh-CN"/>
        </w:rPr>
      </w:pPr>
      <w:r>
        <w:rPr>
          <w:rFonts w:hint="eastAsia" w:asciiTheme="minorEastAsia" w:hAnsiTheme="minorEastAsia" w:eastAsiaTheme="minorEastAsia" w:cstheme="minorEastAsia"/>
          <w:color w:val="FF0000"/>
          <w:sz w:val="28"/>
          <w:szCs w:val="28"/>
        </w:rPr>
        <w:t>说明：以下范本节选融合近五届国赛一等奖核心特征，聚焦“问题导向-创新落地-数据佐证”逻辑，嵌入大赛高频精美图表（含表格、流程图、雷达图等），图表设计遵循“针对性强、数据支撑、简洁美观”原则，可直接参考绘制。</w:t>
      </w:r>
      <w:r>
        <w:rPr>
          <w:rFonts w:hint="eastAsia" w:asciiTheme="minorEastAsia" w:hAnsiTheme="minorEastAsia" w:cstheme="minorEastAsia"/>
          <w:color w:val="FF0000"/>
          <w:sz w:val="28"/>
          <w:szCs w:val="28"/>
          <w:lang w:val="en-US" w:eastAsia="zh-CN"/>
        </w:rPr>
        <w:t>涉及知识产权，未直接复制相关图表，请自行搜索详细文本材料。</w:t>
      </w:r>
    </w:p>
    <w:p w14:paraId="5516F24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p>
    <w:p w14:paraId="64CCC11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eastAsia="宋体"/>
          <w:b/>
          <w:sz w:val="30"/>
        </w:rPr>
      </w:pPr>
      <w:bookmarkStart w:id="22" w:name="heading_45"/>
      <w:r>
        <w:rPr>
          <w:rFonts w:hint="eastAsia" w:ascii="Times New Roman" w:hAnsi="Arial" w:eastAsia="宋体" w:cs="Arial"/>
          <w:b/>
          <w:sz w:val="30"/>
          <w:lang w:val="en-US" w:eastAsia="zh-CN"/>
        </w:rPr>
        <w:t>一、</w:t>
      </w:r>
      <w:r>
        <w:rPr>
          <w:rFonts w:ascii="Times New Roman" w:hAnsi="Arial" w:eastAsia="宋体" w:cs="Arial"/>
          <w:b/>
          <w:sz w:val="30"/>
        </w:rPr>
        <w:t>新工科赛道范本节选——《芯片制造装备设计》（某高校一等奖，正高组）</w:t>
      </w:r>
      <w:bookmarkEnd w:id="22"/>
    </w:p>
    <w:p w14:paraId="0FD8844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23" w:name="heading_46"/>
      <w:r>
        <w:rPr>
          <w:rFonts w:ascii="Times New Roman" w:hAnsi="Arial" w:eastAsia="宋体" w:cs="Arial"/>
          <w:b/>
          <w:sz w:val="28"/>
        </w:rPr>
        <w:t>1.成果概述（380字）</w:t>
      </w:r>
      <w:bookmarkEnd w:id="23"/>
    </w:p>
    <w:p w14:paraId="258EF84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本成果依托《芯片制造装备设计》（微电子科学与工程专业核心必修课，面向大三学生），聚焦“国产芯片装备设计人才匮乏、教材内容滞后行业5年、学生工程实践畏难”三大核心痛点，践行“需求牵引-模型驱动-产教协同”创新理念，构建“三维九维”教学创新体系。核心创新点：①重构“行业标准-核心技术-工程实践”模块化内容；②打造“虚拟仿真+真实项目”阶梯式实践平台；③建立“能力增值+多主体”评价体系。实践3年，学生装备设计竞赛获奖增长3倍，毕业生进入头部芯片企业比例提升45%，课程获评国家级一流本科课程，形成可复制的新工科核心课程育人模式。</w:t>
      </w:r>
    </w:p>
    <w:p w14:paraId="59FDF1B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24" w:name="heading_47"/>
      <w:r>
        <w:rPr>
          <w:rFonts w:ascii="Times New Roman" w:hAnsi="Arial" w:eastAsia="宋体" w:cs="Arial"/>
          <w:b/>
          <w:sz w:val="28"/>
        </w:rPr>
        <w:t>2.核心教学痛点（附痛点映射表）</w:t>
      </w:r>
      <w:bookmarkEnd w:id="24"/>
    </w:p>
    <w:p w14:paraId="3E3B6CB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hAnsi="Arial" w:eastAsia="宋体" w:cs="Arial"/>
          <w:sz w:val="28"/>
        </w:rPr>
      </w:pPr>
      <w:r>
        <w:rPr>
          <w:rFonts w:ascii="Times New Roman" w:hAnsi="Arial" w:eastAsia="宋体" w:cs="Arial"/>
          <w:sz w:val="28"/>
        </w:rPr>
        <w:t>精准锚定政策、产业、学情三端痛点，构建痛点映射表（表1），直观呈现需求缺口：</w:t>
      </w:r>
    </w:p>
    <w:p w14:paraId="60F4998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表1教学痛点-政策产业-学情需求映射表</w:t>
      </w:r>
    </w:p>
    <w:tbl>
      <w:tblPr>
        <w:tblStyle w:val="3"/>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 w:type="dxa"/>
          <w:bottom w:w="0" w:type="dxa"/>
          <w:right w:w="10" w:type="dxa"/>
        </w:tblCellMar>
      </w:tblPr>
      <w:tblGrid>
        <w:gridCol w:w="2070"/>
        <w:gridCol w:w="2070"/>
        <w:gridCol w:w="2070"/>
        <w:gridCol w:w="2070"/>
      </w:tblGrid>
      <w:tr w14:paraId="6BCC15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2070" w:type="dxa"/>
            <w:tcMar>
              <w:top w:w="60" w:type="dxa"/>
              <w:left w:w="120" w:type="dxa"/>
              <w:bottom w:w="30" w:type="dxa"/>
              <w:right w:w="120" w:type="dxa"/>
            </w:tcMar>
          </w:tcPr>
          <w:p w14:paraId="70F25FEF">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核心痛点</w:t>
            </w:r>
          </w:p>
        </w:tc>
        <w:tc>
          <w:tcPr>
            <w:tcW w:w="2070" w:type="dxa"/>
            <w:tcMar>
              <w:top w:w="60" w:type="dxa"/>
              <w:left w:w="120" w:type="dxa"/>
              <w:bottom w:w="30" w:type="dxa"/>
              <w:right w:w="120" w:type="dxa"/>
            </w:tcMar>
          </w:tcPr>
          <w:p w14:paraId="3647B100">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政策/产业要求</w:t>
            </w:r>
          </w:p>
        </w:tc>
        <w:tc>
          <w:tcPr>
            <w:tcW w:w="2070" w:type="dxa"/>
            <w:tcMar>
              <w:top w:w="60" w:type="dxa"/>
              <w:left w:w="120" w:type="dxa"/>
              <w:bottom w:w="30" w:type="dxa"/>
              <w:right w:w="120" w:type="dxa"/>
            </w:tcMar>
          </w:tcPr>
          <w:p w14:paraId="598A11DB">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学情具体表现</w:t>
            </w:r>
          </w:p>
        </w:tc>
        <w:tc>
          <w:tcPr>
            <w:tcW w:w="2070" w:type="dxa"/>
            <w:tcMar>
              <w:top w:w="60" w:type="dxa"/>
              <w:left w:w="120" w:type="dxa"/>
              <w:bottom w:w="30" w:type="dxa"/>
              <w:right w:w="120" w:type="dxa"/>
            </w:tcMar>
          </w:tcPr>
          <w:p w14:paraId="16E68703">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佐证数据</w:t>
            </w:r>
          </w:p>
        </w:tc>
      </w:tr>
      <w:tr w14:paraId="7C061C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2070" w:type="dxa"/>
            <w:tcMar>
              <w:top w:w="60" w:type="dxa"/>
              <w:left w:w="120" w:type="dxa"/>
              <w:bottom w:w="30" w:type="dxa"/>
              <w:right w:w="120" w:type="dxa"/>
            </w:tcMar>
          </w:tcPr>
          <w:p w14:paraId="5DFB3ED8">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知识体系固化，与行业脱节</w:t>
            </w:r>
          </w:p>
        </w:tc>
        <w:tc>
          <w:tcPr>
            <w:tcW w:w="2070" w:type="dxa"/>
            <w:tcMar>
              <w:top w:w="60" w:type="dxa"/>
              <w:left w:w="120" w:type="dxa"/>
              <w:bottom w:w="30" w:type="dxa"/>
              <w:right w:w="120" w:type="dxa"/>
            </w:tcMar>
          </w:tcPr>
          <w:p w14:paraId="743C4125">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《新工科建设指南》要求课程内容对接产业前沿</w:t>
            </w:r>
          </w:p>
        </w:tc>
        <w:tc>
          <w:tcPr>
            <w:tcW w:w="2070" w:type="dxa"/>
            <w:tcMar>
              <w:top w:w="60" w:type="dxa"/>
              <w:left w:w="120" w:type="dxa"/>
              <w:bottom w:w="30" w:type="dxa"/>
              <w:right w:w="120" w:type="dxa"/>
            </w:tcMar>
          </w:tcPr>
          <w:p w14:paraId="2FEB136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教材案例为2018年前技术，未覆盖7nm以下装备核心技术</w:t>
            </w:r>
          </w:p>
        </w:tc>
        <w:tc>
          <w:tcPr>
            <w:tcW w:w="2070" w:type="dxa"/>
            <w:tcMar>
              <w:top w:w="60" w:type="dxa"/>
              <w:left w:w="120" w:type="dxa"/>
              <w:bottom w:w="30" w:type="dxa"/>
              <w:right w:w="120" w:type="dxa"/>
            </w:tcMar>
          </w:tcPr>
          <w:p w14:paraId="13AF1F3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2022年行业调研：88%企业认为学生知识滞后行业3-5年</w:t>
            </w:r>
          </w:p>
        </w:tc>
      </w:tr>
      <w:tr w14:paraId="165F36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2070" w:type="dxa"/>
            <w:tcMar>
              <w:top w:w="60" w:type="dxa"/>
              <w:left w:w="120" w:type="dxa"/>
              <w:bottom w:w="30" w:type="dxa"/>
              <w:right w:w="120" w:type="dxa"/>
            </w:tcMar>
          </w:tcPr>
          <w:p w14:paraId="765EA7C8">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实践条件不足，畏难情绪重</w:t>
            </w:r>
          </w:p>
        </w:tc>
        <w:tc>
          <w:tcPr>
            <w:tcW w:w="2070" w:type="dxa"/>
            <w:tcMar>
              <w:top w:w="60" w:type="dxa"/>
              <w:left w:w="120" w:type="dxa"/>
              <w:bottom w:w="30" w:type="dxa"/>
              <w:right w:w="120" w:type="dxa"/>
            </w:tcMar>
          </w:tcPr>
          <w:p w14:paraId="0A2DA208">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芯片产业急需具备实操能力的装备设计人才</w:t>
            </w:r>
          </w:p>
        </w:tc>
        <w:tc>
          <w:tcPr>
            <w:tcW w:w="2070" w:type="dxa"/>
            <w:tcMar>
              <w:top w:w="60" w:type="dxa"/>
              <w:left w:w="120" w:type="dxa"/>
              <w:bottom w:w="30" w:type="dxa"/>
              <w:right w:w="120" w:type="dxa"/>
            </w:tcMar>
          </w:tcPr>
          <w:p w14:paraId="3776B58E">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仅能完成虚拟仿真，无真实装备调试经验，80%学生怕出错</w:t>
            </w:r>
          </w:p>
        </w:tc>
        <w:tc>
          <w:tcPr>
            <w:tcW w:w="2070" w:type="dxa"/>
            <w:tcMar>
              <w:top w:w="60" w:type="dxa"/>
              <w:left w:w="120" w:type="dxa"/>
              <w:bottom w:w="30" w:type="dxa"/>
              <w:right w:w="120" w:type="dxa"/>
            </w:tcMar>
          </w:tcPr>
          <w:p w14:paraId="4527C83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2021-2022学年：实践任务完成率72%，优秀率仅18%</w:t>
            </w:r>
          </w:p>
        </w:tc>
      </w:tr>
      <w:tr w14:paraId="1BB2C34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jc w:val="center"/>
        </w:trPr>
        <w:tc>
          <w:tcPr>
            <w:tcW w:w="2070" w:type="dxa"/>
            <w:tcMar>
              <w:top w:w="60" w:type="dxa"/>
              <w:left w:w="120" w:type="dxa"/>
              <w:bottom w:w="30" w:type="dxa"/>
              <w:right w:w="120" w:type="dxa"/>
            </w:tcMar>
          </w:tcPr>
          <w:p w14:paraId="59A75E1E">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评价单一，能力无法量化</w:t>
            </w:r>
          </w:p>
        </w:tc>
        <w:tc>
          <w:tcPr>
            <w:tcW w:w="2070" w:type="dxa"/>
            <w:tcMar>
              <w:top w:w="60" w:type="dxa"/>
              <w:left w:w="120" w:type="dxa"/>
              <w:bottom w:w="30" w:type="dxa"/>
              <w:right w:w="120" w:type="dxa"/>
            </w:tcMar>
          </w:tcPr>
          <w:p w14:paraId="23FA7AD3">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要求多元化评价工程能力与创新素养</w:t>
            </w:r>
          </w:p>
        </w:tc>
        <w:tc>
          <w:tcPr>
            <w:tcW w:w="2070" w:type="dxa"/>
            <w:tcMar>
              <w:top w:w="60" w:type="dxa"/>
              <w:left w:w="120" w:type="dxa"/>
              <w:bottom w:w="30" w:type="dxa"/>
              <w:right w:w="120" w:type="dxa"/>
            </w:tcMar>
          </w:tcPr>
          <w:p w14:paraId="48E83EF7">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期末笔试占比70%，无法体现设计、调试等核心能力</w:t>
            </w:r>
          </w:p>
        </w:tc>
        <w:tc>
          <w:tcPr>
            <w:tcW w:w="2070" w:type="dxa"/>
            <w:tcMar>
              <w:top w:w="60" w:type="dxa"/>
              <w:left w:w="120" w:type="dxa"/>
              <w:bottom w:w="30" w:type="dxa"/>
              <w:right w:w="120" w:type="dxa"/>
            </w:tcMar>
          </w:tcPr>
          <w:p w14:paraId="7A23FD6B">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学生访谈：83%认为现有评价不能反映真实能力水平</w:t>
            </w:r>
          </w:p>
        </w:tc>
      </w:tr>
    </w:tbl>
    <w:p w14:paraId="470609F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25" w:name="heading_48"/>
      <w:r>
        <w:rPr>
          <w:rFonts w:ascii="Times New Roman" w:hAnsi="Arial" w:eastAsia="宋体" w:cs="Arial"/>
          <w:b/>
          <w:sz w:val="28"/>
        </w:rPr>
        <w:t>3.核心创新内容与实践路径（附创新模型流程图）</w:t>
      </w:r>
      <w:bookmarkEnd w:id="25"/>
    </w:p>
    <w:p w14:paraId="384ABE6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创新点一：内容与方法协同创新——构建“IPD-ACE”三维驱动模型，配套模型运行机理图（图1），直观呈现创新逻辑：</w:t>
      </w:r>
    </w:p>
    <w:p w14:paraId="798B5C1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图1“IPD-ACE”教学创新模型运行机理图</w:t>
      </w:r>
    </w:p>
    <w:p w14:paraId="3C000BE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color w:val="FF0000"/>
          <w:sz w:val="28"/>
        </w:rPr>
      </w:pPr>
      <w:r>
        <w:rPr>
          <w:rFonts w:ascii="Times New Roman" w:hAnsi="Arial" w:eastAsia="宋体" w:cs="Arial"/>
          <w:color w:val="FF0000"/>
          <w:sz w:val="28"/>
        </w:rPr>
        <w:t>（流程图设计：采用横向流程图，核心逻辑为“需求输入→三维驱动→成效输出”。左侧需求输入：行业岗位能力、学生学情、政策要求；中间三维驱动：I（Industry，产业赋能）-P（Project，项目牵引）-D（Digital，数字赋能），A（Ability，能力分层）-C（Cooperation，协同育人）-E（Evaluation，多元评价）；右侧成效输出：学生能力提升、课程质量升级、产业人才供给。各节点用箭头连接，标注关键支撑要素，如产业赋能对接3家头部企业，数字赋能搭建虚拟仿真平台。）</w:t>
      </w:r>
    </w:p>
    <w:p w14:paraId="5C5FD50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实践路径：①产业赋能：组建“高校教师+企业工程师”团队，提炼5个核心岗位能力，开发“真实装备拆解-设计-调试”项目包，每学期更新8-10个行业最新案例；②数字赋能：搭建虚拟仿真平台，还原7nm芯片刻蚀装备设计全流程，覆盖“基础操作-故障排查-优化设计”三阶任务；③项目牵引：采用“基础任务（虚拟仿真）-综合项目（半真实）-创新挑战（真实课题）”阶梯式设计，适配不同层次学生。</w:t>
      </w:r>
    </w:p>
    <w:p w14:paraId="6B2FFE9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26" w:name="heading_49"/>
      <w:r>
        <w:rPr>
          <w:rFonts w:ascii="Times New Roman" w:hAnsi="Arial" w:eastAsia="宋体" w:cs="Arial"/>
          <w:b/>
          <w:sz w:val="28"/>
        </w:rPr>
        <w:t>4.教学创新成效（附能力增值雷达图+成果对比表）</w:t>
      </w:r>
      <w:bookmarkEnd w:id="26"/>
    </w:p>
    <w:p w14:paraId="19B0B3B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ascii="Times New Roman" w:eastAsia="宋体"/>
          <w:sz w:val="28"/>
        </w:rPr>
      </w:pPr>
      <w:r>
        <w:rPr>
          <w:rFonts w:ascii="Times New Roman" w:hAnsi="Arial" w:eastAsia="宋体" w:cs="Arial"/>
          <w:sz w:val="28"/>
        </w:rPr>
        <w:t>（1）学生能力增值：采用雷达图呈现改革前后学生能力变化（图2），覆盖“核心知识、设计能力、调试能力、创新思维、团队协作”5个维度，改革后各维度得分提升25%-40%：</w:t>
      </w:r>
    </w:p>
    <w:p w14:paraId="19B556E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图2学生核心能力增值雷达图</w:t>
      </w:r>
    </w:p>
    <w:p w14:paraId="2ED71F2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ascii="Times New Roman" w:hAnsi="Arial" w:eastAsia="宋体" w:cs="Arial"/>
          <w:color w:val="FF0000"/>
          <w:sz w:val="28"/>
        </w:rPr>
      </w:pPr>
      <w:r>
        <w:rPr>
          <w:rFonts w:ascii="Times New Roman" w:hAnsi="Arial" w:eastAsia="宋体" w:cs="Arial"/>
          <w:color w:val="FF0000"/>
          <w:sz w:val="28"/>
        </w:rPr>
        <w:t>（雷达图设计：以“能力维度”为半径，得分（0-10分）为刻度，分别绘制改革前（2021级）、改革后（2023级）两条曲线，标注各维度具体得分，改革前平均得分5.2分，改革后平均得分7.8分，突出能力全面提升。）</w:t>
      </w:r>
    </w:p>
    <w:p w14:paraId="5BB337A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ascii="Times New Roman" w:hAnsi="Arial" w:eastAsia="宋体" w:cs="Arial"/>
          <w:sz w:val="28"/>
        </w:rPr>
      </w:pPr>
      <w:r>
        <w:rPr>
          <w:rFonts w:ascii="Times New Roman" w:hAnsi="Arial" w:eastAsia="宋体" w:cs="Arial"/>
          <w:sz w:val="28"/>
        </w:rPr>
        <w:t>（2）教学成果对比：通过表格清晰呈现改革前后关键指标变化（表2）：</w:t>
      </w:r>
    </w:p>
    <w:p w14:paraId="4C2BB13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表2教学改革前后核心指标对比表</w:t>
      </w:r>
    </w:p>
    <w:tbl>
      <w:tblPr>
        <w:tblStyle w:val="3"/>
        <w:tblpPr w:leftFromText="180" w:rightFromText="180" w:vertAnchor="text" w:horzAnchor="page" w:tblpXSpec="center" w:tblpY="454"/>
        <w:tblOverlap w:val="never"/>
        <w:tblW w:w="87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 w:type="dxa"/>
          <w:bottom w:w="0" w:type="dxa"/>
          <w:right w:w="10" w:type="dxa"/>
        </w:tblCellMar>
      </w:tblPr>
      <w:tblGrid>
        <w:gridCol w:w="1756"/>
        <w:gridCol w:w="1756"/>
        <w:gridCol w:w="1756"/>
        <w:gridCol w:w="1756"/>
        <w:gridCol w:w="1756"/>
      </w:tblGrid>
      <w:tr w14:paraId="718F3B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84" w:hRule="atLeast"/>
          <w:jc w:val="center"/>
        </w:trPr>
        <w:tc>
          <w:tcPr>
            <w:tcW w:w="1756" w:type="dxa"/>
            <w:tcMar>
              <w:top w:w="60" w:type="dxa"/>
              <w:left w:w="120" w:type="dxa"/>
              <w:bottom w:w="30" w:type="dxa"/>
              <w:right w:w="120" w:type="dxa"/>
            </w:tcMar>
          </w:tcPr>
          <w:p w14:paraId="12C9CD2F">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指标类型</w:t>
            </w:r>
          </w:p>
        </w:tc>
        <w:tc>
          <w:tcPr>
            <w:tcW w:w="1756" w:type="dxa"/>
            <w:tcMar>
              <w:top w:w="60" w:type="dxa"/>
              <w:left w:w="120" w:type="dxa"/>
              <w:bottom w:w="30" w:type="dxa"/>
              <w:right w:w="120" w:type="dxa"/>
            </w:tcMar>
          </w:tcPr>
          <w:p w14:paraId="65F919BA">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具体指标</w:t>
            </w:r>
          </w:p>
        </w:tc>
        <w:tc>
          <w:tcPr>
            <w:tcW w:w="1756" w:type="dxa"/>
            <w:tcMar>
              <w:top w:w="60" w:type="dxa"/>
              <w:left w:w="120" w:type="dxa"/>
              <w:bottom w:w="30" w:type="dxa"/>
              <w:right w:w="120" w:type="dxa"/>
            </w:tcMar>
          </w:tcPr>
          <w:p w14:paraId="6B15881A">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改革前（2021级）</w:t>
            </w:r>
          </w:p>
        </w:tc>
        <w:tc>
          <w:tcPr>
            <w:tcW w:w="1756" w:type="dxa"/>
            <w:tcMar>
              <w:top w:w="60" w:type="dxa"/>
              <w:left w:w="120" w:type="dxa"/>
              <w:bottom w:w="30" w:type="dxa"/>
              <w:right w:w="120" w:type="dxa"/>
            </w:tcMar>
          </w:tcPr>
          <w:p w14:paraId="16910056">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改革后（2023级）</w:t>
            </w:r>
          </w:p>
        </w:tc>
        <w:tc>
          <w:tcPr>
            <w:tcW w:w="1756" w:type="dxa"/>
            <w:tcMar>
              <w:top w:w="60" w:type="dxa"/>
              <w:left w:w="120" w:type="dxa"/>
              <w:bottom w:w="30" w:type="dxa"/>
              <w:right w:w="120" w:type="dxa"/>
            </w:tcMar>
          </w:tcPr>
          <w:p w14:paraId="3BB91910">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提升幅度</w:t>
            </w:r>
          </w:p>
        </w:tc>
      </w:tr>
      <w:tr w14:paraId="4AC4A7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84" w:hRule="atLeast"/>
          <w:jc w:val="center"/>
        </w:trPr>
        <w:tc>
          <w:tcPr>
            <w:tcW w:w="1756" w:type="dxa"/>
            <w:tcMar>
              <w:top w:w="60" w:type="dxa"/>
              <w:left w:w="120" w:type="dxa"/>
              <w:bottom w:w="30" w:type="dxa"/>
              <w:right w:w="120" w:type="dxa"/>
            </w:tcMar>
          </w:tcPr>
          <w:p w14:paraId="5AADE701">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知识掌握</w:t>
            </w:r>
          </w:p>
        </w:tc>
        <w:tc>
          <w:tcPr>
            <w:tcW w:w="1756" w:type="dxa"/>
            <w:tcMar>
              <w:top w:w="60" w:type="dxa"/>
              <w:left w:w="120" w:type="dxa"/>
              <w:bottom w:w="30" w:type="dxa"/>
              <w:right w:w="120" w:type="dxa"/>
            </w:tcMar>
          </w:tcPr>
          <w:p w14:paraId="174BB16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核心知识点正确率</w:t>
            </w:r>
          </w:p>
        </w:tc>
        <w:tc>
          <w:tcPr>
            <w:tcW w:w="1756" w:type="dxa"/>
            <w:tcMar>
              <w:top w:w="60" w:type="dxa"/>
              <w:left w:w="120" w:type="dxa"/>
              <w:bottom w:w="30" w:type="dxa"/>
              <w:right w:w="120" w:type="dxa"/>
            </w:tcMar>
          </w:tcPr>
          <w:p w14:paraId="44CA6933">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68%</w:t>
            </w:r>
          </w:p>
        </w:tc>
        <w:tc>
          <w:tcPr>
            <w:tcW w:w="1756" w:type="dxa"/>
            <w:tcMar>
              <w:top w:w="60" w:type="dxa"/>
              <w:left w:w="120" w:type="dxa"/>
              <w:bottom w:w="30" w:type="dxa"/>
              <w:right w:w="120" w:type="dxa"/>
            </w:tcMar>
          </w:tcPr>
          <w:p w14:paraId="1EC1B710">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93%</w:t>
            </w:r>
          </w:p>
        </w:tc>
        <w:tc>
          <w:tcPr>
            <w:tcW w:w="1756" w:type="dxa"/>
            <w:tcMar>
              <w:top w:w="60" w:type="dxa"/>
              <w:left w:w="120" w:type="dxa"/>
              <w:bottom w:w="30" w:type="dxa"/>
              <w:right w:w="120" w:type="dxa"/>
            </w:tcMar>
          </w:tcPr>
          <w:p w14:paraId="7F31DF6B">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25个百分点</w:t>
            </w:r>
          </w:p>
        </w:tc>
      </w:tr>
      <w:tr w14:paraId="6E450A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84" w:hRule="atLeast"/>
          <w:jc w:val="center"/>
        </w:trPr>
        <w:tc>
          <w:tcPr>
            <w:tcW w:w="1756" w:type="dxa"/>
            <w:tcMar>
              <w:top w:w="60" w:type="dxa"/>
              <w:left w:w="120" w:type="dxa"/>
              <w:bottom w:w="30" w:type="dxa"/>
              <w:right w:w="120" w:type="dxa"/>
            </w:tcMar>
          </w:tcPr>
          <w:p w14:paraId="4CACEA0A">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能力提升</w:t>
            </w:r>
          </w:p>
        </w:tc>
        <w:tc>
          <w:tcPr>
            <w:tcW w:w="1756" w:type="dxa"/>
            <w:tcMar>
              <w:top w:w="60" w:type="dxa"/>
              <w:left w:w="120" w:type="dxa"/>
              <w:bottom w:w="30" w:type="dxa"/>
              <w:right w:w="120" w:type="dxa"/>
            </w:tcMar>
          </w:tcPr>
          <w:p w14:paraId="3DFF6BE4">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真实项目完成率</w:t>
            </w:r>
          </w:p>
        </w:tc>
        <w:tc>
          <w:tcPr>
            <w:tcW w:w="1756" w:type="dxa"/>
            <w:tcMar>
              <w:top w:w="60" w:type="dxa"/>
              <w:left w:w="120" w:type="dxa"/>
              <w:bottom w:w="30" w:type="dxa"/>
              <w:right w:w="120" w:type="dxa"/>
            </w:tcMar>
          </w:tcPr>
          <w:p w14:paraId="2AD2F95F">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35%</w:t>
            </w:r>
          </w:p>
        </w:tc>
        <w:tc>
          <w:tcPr>
            <w:tcW w:w="1756" w:type="dxa"/>
            <w:tcMar>
              <w:top w:w="60" w:type="dxa"/>
              <w:left w:w="120" w:type="dxa"/>
              <w:bottom w:w="30" w:type="dxa"/>
              <w:right w:w="120" w:type="dxa"/>
            </w:tcMar>
          </w:tcPr>
          <w:p w14:paraId="529F76C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89%</w:t>
            </w:r>
          </w:p>
        </w:tc>
        <w:tc>
          <w:tcPr>
            <w:tcW w:w="1756" w:type="dxa"/>
            <w:tcMar>
              <w:top w:w="60" w:type="dxa"/>
              <w:left w:w="120" w:type="dxa"/>
              <w:bottom w:w="30" w:type="dxa"/>
              <w:right w:w="120" w:type="dxa"/>
            </w:tcMar>
          </w:tcPr>
          <w:p w14:paraId="0E9C1D14">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54个百分点</w:t>
            </w:r>
          </w:p>
        </w:tc>
      </w:tr>
      <w:tr w14:paraId="0FBE7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593" w:hRule="atLeast"/>
          <w:jc w:val="center"/>
        </w:trPr>
        <w:tc>
          <w:tcPr>
            <w:tcW w:w="1756" w:type="dxa"/>
            <w:tcMar>
              <w:top w:w="60" w:type="dxa"/>
              <w:left w:w="120" w:type="dxa"/>
              <w:bottom w:w="30" w:type="dxa"/>
              <w:right w:w="120" w:type="dxa"/>
            </w:tcMar>
          </w:tcPr>
          <w:p w14:paraId="4A3B8455">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竞赛成果</w:t>
            </w:r>
          </w:p>
        </w:tc>
        <w:tc>
          <w:tcPr>
            <w:tcW w:w="1756" w:type="dxa"/>
            <w:tcMar>
              <w:top w:w="60" w:type="dxa"/>
              <w:left w:w="120" w:type="dxa"/>
              <w:bottom w:w="30" w:type="dxa"/>
              <w:right w:w="120" w:type="dxa"/>
            </w:tcMar>
          </w:tcPr>
          <w:p w14:paraId="0F44869E">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省级及以上竞赛获奖数</w:t>
            </w:r>
          </w:p>
        </w:tc>
        <w:tc>
          <w:tcPr>
            <w:tcW w:w="1756" w:type="dxa"/>
            <w:tcMar>
              <w:top w:w="60" w:type="dxa"/>
              <w:left w:w="120" w:type="dxa"/>
              <w:bottom w:w="30" w:type="dxa"/>
              <w:right w:w="120" w:type="dxa"/>
            </w:tcMar>
          </w:tcPr>
          <w:p w14:paraId="69D88D35">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3项</w:t>
            </w:r>
          </w:p>
        </w:tc>
        <w:tc>
          <w:tcPr>
            <w:tcW w:w="1756" w:type="dxa"/>
            <w:tcMar>
              <w:top w:w="60" w:type="dxa"/>
              <w:left w:w="120" w:type="dxa"/>
              <w:bottom w:w="30" w:type="dxa"/>
              <w:right w:w="120" w:type="dxa"/>
            </w:tcMar>
          </w:tcPr>
          <w:p w14:paraId="4B0DED8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12项</w:t>
            </w:r>
          </w:p>
        </w:tc>
        <w:tc>
          <w:tcPr>
            <w:tcW w:w="1756" w:type="dxa"/>
            <w:tcMar>
              <w:top w:w="60" w:type="dxa"/>
              <w:left w:w="120" w:type="dxa"/>
              <w:bottom w:w="30" w:type="dxa"/>
              <w:right w:w="120" w:type="dxa"/>
            </w:tcMar>
          </w:tcPr>
          <w:p w14:paraId="0C6B91D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300%</w:t>
            </w:r>
          </w:p>
        </w:tc>
      </w:tr>
      <w:tr w14:paraId="407F05B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90" w:hRule="atLeast"/>
          <w:jc w:val="center"/>
        </w:trPr>
        <w:tc>
          <w:tcPr>
            <w:tcW w:w="1756" w:type="dxa"/>
            <w:tcMar>
              <w:top w:w="60" w:type="dxa"/>
              <w:left w:w="120" w:type="dxa"/>
              <w:bottom w:w="30" w:type="dxa"/>
              <w:right w:w="120" w:type="dxa"/>
            </w:tcMar>
          </w:tcPr>
          <w:p w14:paraId="40EBEA4A">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就业质量</w:t>
            </w:r>
          </w:p>
        </w:tc>
        <w:tc>
          <w:tcPr>
            <w:tcW w:w="1756" w:type="dxa"/>
            <w:tcMar>
              <w:top w:w="60" w:type="dxa"/>
              <w:left w:w="120" w:type="dxa"/>
              <w:bottom w:w="30" w:type="dxa"/>
              <w:right w:w="120" w:type="dxa"/>
            </w:tcMar>
          </w:tcPr>
          <w:p w14:paraId="103FA1B8">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头部芯片企业就业率</w:t>
            </w:r>
          </w:p>
        </w:tc>
        <w:tc>
          <w:tcPr>
            <w:tcW w:w="1756" w:type="dxa"/>
            <w:tcMar>
              <w:top w:w="60" w:type="dxa"/>
              <w:left w:w="120" w:type="dxa"/>
              <w:bottom w:w="30" w:type="dxa"/>
              <w:right w:w="120" w:type="dxa"/>
            </w:tcMar>
          </w:tcPr>
          <w:p w14:paraId="76741D27">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23%</w:t>
            </w:r>
          </w:p>
        </w:tc>
        <w:tc>
          <w:tcPr>
            <w:tcW w:w="1756" w:type="dxa"/>
            <w:tcMar>
              <w:top w:w="60" w:type="dxa"/>
              <w:left w:w="120" w:type="dxa"/>
              <w:bottom w:w="30" w:type="dxa"/>
              <w:right w:w="120" w:type="dxa"/>
            </w:tcMar>
          </w:tcPr>
          <w:p w14:paraId="42F59E2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68%</w:t>
            </w:r>
          </w:p>
        </w:tc>
        <w:tc>
          <w:tcPr>
            <w:tcW w:w="1756" w:type="dxa"/>
            <w:tcMar>
              <w:top w:w="60" w:type="dxa"/>
              <w:left w:w="120" w:type="dxa"/>
              <w:bottom w:w="30" w:type="dxa"/>
              <w:right w:w="120" w:type="dxa"/>
            </w:tcMar>
          </w:tcPr>
          <w:p w14:paraId="71787DD5">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45个百分点</w:t>
            </w:r>
          </w:p>
        </w:tc>
      </w:tr>
    </w:tbl>
    <w:p w14:paraId="1641523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hAnsi="Arial" w:eastAsia="宋体" w:cs="Arial"/>
          <w:b/>
          <w:sz w:val="30"/>
        </w:rPr>
      </w:pPr>
      <w:bookmarkStart w:id="27" w:name="heading_50"/>
    </w:p>
    <w:p w14:paraId="43A357F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eastAsia="宋体"/>
          <w:b/>
          <w:sz w:val="30"/>
        </w:rPr>
      </w:pPr>
      <w:r>
        <w:rPr>
          <w:rFonts w:ascii="Times New Roman" w:hAnsi="Arial" w:eastAsia="宋体" w:cs="Arial"/>
          <w:b/>
          <w:sz w:val="30"/>
        </w:rPr>
        <w:t>二</w:t>
      </w:r>
      <w:r>
        <w:rPr>
          <w:rFonts w:hint="eastAsia" w:ascii="Times New Roman" w:hAnsi="Arial" w:eastAsia="宋体" w:cs="Arial"/>
          <w:b/>
          <w:sz w:val="30"/>
          <w:lang w:eastAsia="zh-CN"/>
        </w:rPr>
        <w:t>、</w:t>
      </w:r>
      <w:r>
        <w:rPr>
          <w:rFonts w:ascii="Times New Roman" w:hAnsi="Arial" w:eastAsia="宋体" w:cs="Arial"/>
          <w:b/>
          <w:sz w:val="30"/>
        </w:rPr>
        <w:t>新医科赛道范本节选——《临床诊断学》（某高校一等奖，副高组）</w:t>
      </w:r>
      <w:bookmarkEnd w:id="27"/>
    </w:p>
    <w:p w14:paraId="397122A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28" w:name="heading_51"/>
      <w:r>
        <w:rPr>
          <w:rFonts w:ascii="Times New Roman" w:hAnsi="Arial" w:eastAsia="宋体" w:cs="Arial"/>
          <w:b/>
          <w:sz w:val="28"/>
        </w:rPr>
        <w:t>1.核心创新内容（附实践路径图）</w:t>
      </w:r>
      <w:bookmarkEnd w:id="28"/>
    </w:p>
    <w:p w14:paraId="50A8366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创新点二：打造“三维行走课堂”，构建“医教-科教-产教”融合实践体系，配套实践路径图（图3）：</w:t>
      </w:r>
    </w:p>
    <w:p w14:paraId="24DB6C72">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图3“三维行走课堂”实践路径图</w:t>
      </w:r>
    </w:p>
    <w:p w14:paraId="7B6727E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color w:val="FF0000"/>
          <w:sz w:val="28"/>
        </w:rPr>
      </w:pPr>
      <w:r>
        <w:rPr>
          <w:rFonts w:ascii="Times New Roman" w:hAnsi="Arial" w:eastAsia="宋体" w:cs="Arial"/>
          <w:color w:val="FF0000"/>
          <w:sz w:val="28"/>
        </w:rPr>
        <w:t>（路径图设计：采用分支结构，以“三维行走课堂”为核心，分为临床观摩课堂、科研探究课堂、健康科普课堂三个分支，每个分支标注“实施场景-核心任务-能力目标-支撑主体”，如临床观摩课堂：场景（三甲医院内科病房）、任务（病例问诊+体格检查）、目标（临床思维培养）、支撑（临床医师+高校教师），清晰呈现各课堂逻辑关联与落地方式。）</w:t>
      </w:r>
    </w:p>
    <w:p w14:paraId="5A6756D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29" w:name="heading_52"/>
      <w:r>
        <w:rPr>
          <w:rFonts w:ascii="Times New Roman" w:hAnsi="Arial" w:eastAsia="宋体" w:cs="Arial"/>
          <w:b/>
          <w:sz w:val="28"/>
        </w:rPr>
        <w:t>2.教学成效（附学生素养评价表）</w:t>
      </w:r>
      <w:bookmarkEnd w:id="29"/>
    </w:p>
    <w:p w14:paraId="01FBB96D">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表3学生临床素养与能力评价表（改革后）</w:t>
      </w:r>
    </w:p>
    <w:tbl>
      <w:tblPr>
        <w:tblStyle w:val="3"/>
        <w:tblW w:w="87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 w:type="dxa"/>
          <w:bottom w:w="0" w:type="dxa"/>
          <w:right w:w="10" w:type="dxa"/>
        </w:tblCellMar>
      </w:tblPr>
      <w:tblGrid>
        <w:gridCol w:w="1756"/>
        <w:gridCol w:w="1756"/>
        <w:gridCol w:w="1756"/>
        <w:gridCol w:w="1756"/>
        <w:gridCol w:w="1756"/>
      </w:tblGrid>
      <w:tr w14:paraId="49745F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24" w:hRule="atLeast"/>
          <w:jc w:val="center"/>
        </w:trPr>
        <w:tc>
          <w:tcPr>
            <w:tcW w:w="1756" w:type="dxa"/>
            <w:tcMar>
              <w:top w:w="60" w:type="dxa"/>
              <w:left w:w="120" w:type="dxa"/>
              <w:bottom w:w="30" w:type="dxa"/>
              <w:right w:w="120" w:type="dxa"/>
            </w:tcMar>
          </w:tcPr>
          <w:p w14:paraId="48C0BB01">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评价维度</w:t>
            </w:r>
          </w:p>
        </w:tc>
        <w:tc>
          <w:tcPr>
            <w:tcW w:w="1756" w:type="dxa"/>
            <w:tcMar>
              <w:top w:w="60" w:type="dxa"/>
              <w:left w:w="120" w:type="dxa"/>
              <w:bottom w:w="30" w:type="dxa"/>
              <w:right w:w="120" w:type="dxa"/>
            </w:tcMar>
          </w:tcPr>
          <w:p w14:paraId="18938B13">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评价指标</w:t>
            </w:r>
          </w:p>
        </w:tc>
        <w:tc>
          <w:tcPr>
            <w:tcW w:w="1756" w:type="dxa"/>
            <w:tcMar>
              <w:top w:w="60" w:type="dxa"/>
              <w:left w:w="120" w:type="dxa"/>
              <w:bottom w:w="30" w:type="dxa"/>
              <w:right w:w="120" w:type="dxa"/>
            </w:tcMar>
          </w:tcPr>
          <w:p w14:paraId="7269444B">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权重</w:t>
            </w:r>
          </w:p>
        </w:tc>
        <w:tc>
          <w:tcPr>
            <w:tcW w:w="1756" w:type="dxa"/>
            <w:tcMar>
              <w:top w:w="60" w:type="dxa"/>
              <w:left w:w="120" w:type="dxa"/>
              <w:bottom w:w="30" w:type="dxa"/>
              <w:right w:w="120" w:type="dxa"/>
            </w:tcMar>
          </w:tcPr>
          <w:p w14:paraId="7E8645EA">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评价主体</w:t>
            </w:r>
          </w:p>
        </w:tc>
        <w:tc>
          <w:tcPr>
            <w:tcW w:w="1756" w:type="dxa"/>
            <w:tcMar>
              <w:top w:w="60" w:type="dxa"/>
              <w:left w:w="120" w:type="dxa"/>
              <w:bottom w:w="30" w:type="dxa"/>
              <w:right w:w="120" w:type="dxa"/>
            </w:tcMar>
          </w:tcPr>
          <w:p w14:paraId="3A8E3B6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平均得分（满分10分）</w:t>
            </w:r>
          </w:p>
        </w:tc>
      </w:tr>
      <w:tr w14:paraId="23509E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24" w:hRule="atLeast"/>
          <w:jc w:val="center"/>
        </w:trPr>
        <w:tc>
          <w:tcPr>
            <w:tcW w:w="1756" w:type="dxa"/>
            <w:tcMar>
              <w:top w:w="60" w:type="dxa"/>
              <w:left w:w="120" w:type="dxa"/>
              <w:bottom w:w="30" w:type="dxa"/>
              <w:right w:w="120" w:type="dxa"/>
            </w:tcMar>
          </w:tcPr>
          <w:p w14:paraId="075A641D">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临床能力</w:t>
            </w:r>
          </w:p>
        </w:tc>
        <w:tc>
          <w:tcPr>
            <w:tcW w:w="1756" w:type="dxa"/>
            <w:tcMar>
              <w:top w:w="60" w:type="dxa"/>
              <w:left w:w="120" w:type="dxa"/>
              <w:bottom w:w="30" w:type="dxa"/>
              <w:right w:w="120" w:type="dxa"/>
            </w:tcMar>
          </w:tcPr>
          <w:p w14:paraId="453D7094">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病例诊断准确率</w:t>
            </w:r>
          </w:p>
        </w:tc>
        <w:tc>
          <w:tcPr>
            <w:tcW w:w="1756" w:type="dxa"/>
            <w:tcMar>
              <w:top w:w="60" w:type="dxa"/>
              <w:left w:w="120" w:type="dxa"/>
              <w:bottom w:w="30" w:type="dxa"/>
              <w:right w:w="120" w:type="dxa"/>
            </w:tcMar>
          </w:tcPr>
          <w:p w14:paraId="4CAA85B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30%</w:t>
            </w:r>
          </w:p>
        </w:tc>
        <w:tc>
          <w:tcPr>
            <w:tcW w:w="1756" w:type="dxa"/>
            <w:tcMar>
              <w:top w:w="60" w:type="dxa"/>
              <w:left w:w="120" w:type="dxa"/>
              <w:bottom w:w="30" w:type="dxa"/>
              <w:right w:w="120" w:type="dxa"/>
            </w:tcMar>
          </w:tcPr>
          <w:p w14:paraId="1F84A434">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临床医师+教师</w:t>
            </w:r>
          </w:p>
        </w:tc>
        <w:tc>
          <w:tcPr>
            <w:tcW w:w="1756" w:type="dxa"/>
            <w:tcMar>
              <w:top w:w="60" w:type="dxa"/>
              <w:left w:w="120" w:type="dxa"/>
              <w:bottom w:w="30" w:type="dxa"/>
              <w:right w:w="120" w:type="dxa"/>
            </w:tcMar>
          </w:tcPr>
          <w:p w14:paraId="7F543108">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8.5</w:t>
            </w:r>
          </w:p>
        </w:tc>
      </w:tr>
      <w:tr w14:paraId="112487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24" w:hRule="atLeast"/>
          <w:jc w:val="center"/>
        </w:trPr>
        <w:tc>
          <w:tcPr>
            <w:tcW w:w="1756" w:type="dxa"/>
            <w:tcMar>
              <w:top w:w="60" w:type="dxa"/>
              <w:left w:w="120" w:type="dxa"/>
              <w:bottom w:w="30" w:type="dxa"/>
              <w:right w:w="120" w:type="dxa"/>
            </w:tcMar>
          </w:tcPr>
          <w:p w14:paraId="0307BF9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职业素养</w:t>
            </w:r>
          </w:p>
        </w:tc>
        <w:tc>
          <w:tcPr>
            <w:tcW w:w="1756" w:type="dxa"/>
            <w:tcMar>
              <w:top w:w="60" w:type="dxa"/>
              <w:left w:w="120" w:type="dxa"/>
              <w:bottom w:w="30" w:type="dxa"/>
              <w:right w:w="120" w:type="dxa"/>
            </w:tcMar>
          </w:tcPr>
          <w:p w14:paraId="6C649E5D">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医患沟通规范性</w:t>
            </w:r>
          </w:p>
        </w:tc>
        <w:tc>
          <w:tcPr>
            <w:tcW w:w="1756" w:type="dxa"/>
            <w:tcMar>
              <w:top w:w="60" w:type="dxa"/>
              <w:left w:w="120" w:type="dxa"/>
              <w:bottom w:w="30" w:type="dxa"/>
              <w:right w:w="120" w:type="dxa"/>
            </w:tcMar>
          </w:tcPr>
          <w:p w14:paraId="0DF263EA">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25%</w:t>
            </w:r>
          </w:p>
        </w:tc>
        <w:tc>
          <w:tcPr>
            <w:tcW w:w="1756" w:type="dxa"/>
            <w:tcMar>
              <w:top w:w="60" w:type="dxa"/>
              <w:left w:w="120" w:type="dxa"/>
              <w:bottom w:w="30" w:type="dxa"/>
              <w:right w:w="120" w:type="dxa"/>
            </w:tcMar>
          </w:tcPr>
          <w:p w14:paraId="2CD53798">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患者+教师</w:t>
            </w:r>
          </w:p>
        </w:tc>
        <w:tc>
          <w:tcPr>
            <w:tcW w:w="1756" w:type="dxa"/>
            <w:tcMar>
              <w:top w:w="60" w:type="dxa"/>
              <w:left w:w="120" w:type="dxa"/>
              <w:bottom w:w="30" w:type="dxa"/>
              <w:right w:w="120" w:type="dxa"/>
            </w:tcMar>
          </w:tcPr>
          <w:p w14:paraId="70F2062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9.2</w:t>
            </w:r>
          </w:p>
        </w:tc>
      </w:tr>
      <w:tr w14:paraId="18A0FF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560" w:hRule="atLeast"/>
          <w:jc w:val="center"/>
        </w:trPr>
        <w:tc>
          <w:tcPr>
            <w:tcW w:w="1756" w:type="dxa"/>
            <w:tcMar>
              <w:top w:w="60" w:type="dxa"/>
              <w:left w:w="120" w:type="dxa"/>
              <w:bottom w:w="30" w:type="dxa"/>
              <w:right w:w="120" w:type="dxa"/>
            </w:tcMar>
          </w:tcPr>
          <w:p w14:paraId="7225D006">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创新思维</w:t>
            </w:r>
          </w:p>
        </w:tc>
        <w:tc>
          <w:tcPr>
            <w:tcW w:w="1756" w:type="dxa"/>
            <w:tcMar>
              <w:top w:w="60" w:type="dxa"/>
              <w:left w:w="120" w:type="dxa"/>
              <w:bottom w:w="30" w:type="dxa"/>
              <w:right w:w="120" w:type="dxa"/>
            </w:tcMar>
          </w:tcPr>
          <w:p w14:paraId="4CBF1FA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病例分析创新性</w:t>
            </w:r>
          </w:p>
        </w:tc>
        <w:tc>
          <w:tcPr>
            <w:tcW w:w="1756" w:type="dxa"/>
            <w:tcMar>
              <w:top w:w="60" w:type="dxa"/>
              <w:left w:w="120" w:type="dxa"/>
              <w:bottom w:w="30" w:type="dxa"/>
              <w:right w:w="120" w:type="dxa"/>
            </w:tcMar>
          </w:tcPr>
          <w:p w14:paraId="4183FC77">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25%</w:t>
            </w:r>
          </w:p>
        </w:tc>
        <w:tc>
          <w:tcPr>
            <w:tcW w:w="1756" w:type="dxa"/>
            <w:tcMar>
              <w:top w:w="60" w:type="dxa"/>
              <w:left w:w="120" w:type="dxa"/>
              <w:bottom w:w="30" w:type="dxa"/>
              <w:right w:w="120" w:type="dxa"/>
            </w:tcMar>
          </w:tcPr>
          <w:p w14:paraId="6F3E3EE6">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教师+同行</w:t>
            </w:r>
          </w:p>
        </w:tc>
        <w:tc>
          <w:tcPr>
            <w:tcW w:w="1756" w:type="dxa"/>
            <w:tcMar>
              <w:top w:w="60" w:type="dxa"/>
              <w:left w:w="120" w:type="dxa"/>
              <w:bottom w:w="30" w:type="dxa"/>
              <w:right w:w="120" w:type="dxa"/>
            </w:tcMar>
          </w:tcPr>
          <w:p w14:paraId="3F53174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8.1</w:t>
            </w:r>
          </w:p>
        </w:tc>
      </w:tr>
      <w:tr w14:paraId="6C691D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 w:type="dxa"/>
            <w:bottom w:w="0" w:type="dxa"/>
            <w:right w:w="10" w:type="dxa"/>
          </w:tblCellMar>
        </w:tblPrEx>
        <w:trPr>
          <w:trHeight w:val="1029" w:hRule="atLeast"/>
          <w:jc w:val="center"/>
        </w:trPr>
        <w:tc>
          <w:tcPr>
            <w:tcW w:w="1756" w:type="dxa"/>
            <w:tcMar>
              <w:top w:w="60" w:type="dxa"/>
              <w:left w:w="120" w:type="dxa"/>
              <w:bottom w:w="30" w:type="dxa"/>
              <w:right w:w="120" w:type="dxa"/>
            </w:tcMar>
          </w:tcPr>
          <w:p w14:paraId="384774BE">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团队协作</w:t>
            </w:r>
          </w:p>
        </w:tc>
        <w:tc>
          <w:tcPr>
            <w:tcW w:w="1756" w:type="dxa"/>
            <w:tcMar>
              <w:top w:w="60" w:type="dxa"/>
              <w:left w:w="120" w:type="dxa"/>
              <w:bottom w:w="30" w:type="dxa"/>
              <w:right w:w="120" w:type="dxa"/>
            </w:tcMar>
          </w:tcPr>
          <w:p w14:paraId="2E8043CD">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多学科会诊配合度</w:t>
            </w:r>
          </w:p>
        </w:tc>
        <w:tc>
          <w:tcPr>
            <w:tcW w:w="1756" w:type="dxa"/>
            <w:tcMar>
              <w:top w:w="60" w:type="dxa"/>
              <w:left w:w="120" w:type="dxa"/>
              <w:bottom w:w="30" w:type="dxa"/>
              <w:right w:w="120" w:type="dxa"/>
            </w:tcMar>
          </w:tcPr>
          <w:p w14:paraId="4D83FC19">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20%</w:t>
            </w:r>
          </w:p>
        </w:tc>
        <w:tc>
          <w:tcPr>
            <w:tcW w:w="1756" w:type="dxa"/>
            <w:tcMar>
              <w:top w:w="60" w:type="dxa"/>
              <w:left w:w="120" w:type="dxa"/>
              <w:bottom w:w="30" w:type="dxa"/>
              <w:right w:w="120" w:type="dxa"/>
            </w:tcMar>
          </w:tcPr>
          <w:p w14:paraId="0751E227">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同伴+教师</w:t>
            </w:r>
          </w:p>
        </w:tc>
        <w:tc>
          <w:tcPr>
            <w:tcW w:w="1756" w:type="dxa"/>
            <w:tcMar>
              <w:top w:w="60" w:type="dxa"/>
              <w:left w:w="120" w:type="dxa"/>
              <w:bottom w:w="30" w:type="dxa"/>
              <w:right w:w="120" w:type="dxa"/>
            </w:tcMar>
          </w:tcPr>
          <w:p w14:paraId="044198CC">
            <w:pPr>
              <w:keepNext w:val="0"/>
              <w:keepLines w:val="0"/>
              <w:pageBreakBefore w:val="0"/>
              <w:widowControl w:val="0"/>
              <w:kinsoku/>
              <w:wordWrap/>
              <w:overflowPunct/>
              <w:topLinePunct w:val="0"/>
              <w:autoSpaceDE/>
              <w:autoSpaceDN/>
              <w:bidi w:val="0"/>
              <w:adjustRightInd/>
              <w:snapToGrid/>
              <w:spacing w:line="360" w:lineRule="auto"/>
              <w:ind w:left="0"/>
              <w:jc w:val="left"/>
              <w:textAlignment w:val="auto"/>
            </w:pPr>
            <w:r>
              <w:rPr>
                <w:rFonts w:ascii="Arial" w:hAnsi="Arial" w:eastAsia="等线" w:cs="Arial"/>
                <w:sz w:val="22"/>
              </w:rPr>
              <w:t>8.8</w:t>
            </w:r>
          </w:p>
        </w:tc>
      </w:tr>
    </w:tbl>
    <w:p w14:paraId="15AE139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hAnsi="Arial" w:eastAsia="宋体" w:cs="Arial"/>
          <w:b/>
          <w:sz w:val="30"/>
        </w:rPr>
      </w:pPr>
      <w:bookmarkStart w:id="30" w:name="heading_53"/>
    </w:p>
    <w:p w14:paraId="201D1C9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eastAsia="宋体"/>
          <w:b/>
          <w:sz w:val="30"/>
        </w:rPr>
      </w:pPr>
      <w:r>
        <w:rPr>
          <w:rFonts w:ascii="Times New Roman" w:hAnsi="Arial" w:eastAsia="宋体" w:cs="Arial"/>
          <w:b/>
          <w:sz w:val="30"/>
        </w:rPr>
        <w:t>三</w:t>
      </w:r>
      <w:r>
        <w:rPr>
          <w:rFonts w:hint="eastAsia" w:ascii="Times New Roman" w:hAnsi="Arial" w:eastAsia="宋体" w:cs="Arial"/>
          <w:b/>
          <w:sz w:val="30"/>
          <w:lang w:eastAsia="zh-CN"/>
        </w:rPr>
        <w:t>、</w:t>
      </w:r>
      <w:r>
        <w:rPr>
          <w:rFonts w:ascii="Times New Roman" w:hAnsi="Arial" w:eastAsia="宋体" w:cs="Arial"/>
          <w:b/>
          <w:sz w:val="30"/>
        </w:rPr>
        <w:t>新文科赛道范本节选——《国际新闻编译》（某高校一等奖，中级组）</w:t>
      </w:r>
      <w:bookmarkEnd w:id="30"/>
    </w:p>
    <w:p w14:paraId="5C777D9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31" w:name="heading_54"/>
      <w:r>
        <w:rPr>
          <w:rFonts w:ascii="Times New Roman" w:hAnsi="Arial" w:eastAsia="宋体" w:cs="Arial"/>
          <w:b/>
          <w:sz w:val="28"/>
        </w:rPr>
        <w:t>1.核心创新内容（附RACE创新模型图）</w:t>
      </w:r>
      <w:bookmarkEnd w:id="31"/>
    </w:p>
    <w:p w14:paraId="42E599B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创新点三：提出“RACE”四维协同创新模型，破解“跨文化叙事弱、AI应用不足”痛点，模型图（图4）如下：</w:t>
      </w:r>
    </w:p>
    <w:p w14:paraId="74E9BAD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图4“RACE”教学创新模型图</w:t>
      </w:r>
    </w:p>
    <w:p w14:paraId="15FA6B2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color w:val="FF0000"/>
          <w:sz w:val="28"/>
        </w:rPr>
      </w:pPr>
      <w:r>
        <w:rPr>
          <w:rFonts w:ascii="Times New Roman" w:hAnsi="Arial" w:eastAsia="宋体" w:cs="Arial"/>
          <w:color w:val="FF0000"/>
          <w:sz w:val="28"/>
        </w:rPr>
        <w:t>（模型图设计：采用中心辐射式结构，核心为“RACE”模型，四个维度分别为R（Real-time，实时数据流支撑）、A（AI协同编译）、C（Cross-cultural，跨文化叙事）、E（Evaluation，多元评价），每个维度标注核心举措与支撑资源，如A维度：AI工具（ChatGPT、Grammarly）+伦理规范指导，直观呈现四维协同逻辑。）</w:t>
      </w:r>
    </w:p>
    <w:p w14:paraId="116BF8D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32" w:name="heading_55"/>
      <w:r>
        <w:rPr>
          <w:rFonts w:ascii="Times New Roman" w:hAnsi="Arial" w:eastAsia="宋体" w:cs="Arial"/>
          <w:b/>
          <w:sz w:val="28"/>
        </w:rPr>
        <w:t>2.示范推广成效（附推广路径图）</w:t>
      </w:r>
      <w:bookmarkEnd w:id="32"/>
    </w:p>
    <w:p w14:paraId="162D1AA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eastAsia="宋体"/>
          <w:b/>
          <w:sz w:val="24"/>
        </w:rPr>
      </w:pPr>
      <w:r>
        <w:rPr>
          <w:rFonts w:ascii="Times New Roman" w:hAnsi="Arial" w:eastAsia="宋体" w:cs="Arial"/>
          <w:b/>
          <w:sz w:val="24"/>
        </w:rPr>
        <w:t>图5成果示范推广路径图</w:t>
      </w:r>
    </w:p>
    <w:p w14:paraId="6152EF7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color w:val="FF0000"/>
          <w:sz w:val="28"/>
        </w:rPr>
      </w:pPr>
      <w:r>
        <w:rPr>
          <w:rFonts w:ascii="Times New Roman" w:hAnsi="Arial" w:eastAsia="宋体" w:cs="Arial"/>
          <w:color w:val="FF0000"/>
          <w:sz w:val="28"/>
        </w:rPr>
        <w:t>（路径图设计：采用阶梯式流程图，分为“校内试点（2022年，覆盖3个班级）→省级联盟推广（2023年，覆盖8所院校）→行业共享（2024年，联合媒体企业开展培训）→国际交流（2025年，对接海外高校）”四个阶段，每个阶段标注覆盖范围、核心成果、支撑单位，清晰呈现推广脉络与成效。）</w:t>
      </w:r>
    </w:p>
    <w:p w14:paraId="297503A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ascii="Times New Roman" w:eastAsia="宋体"/>
          <w:sz w:val="28"/>
        </w:rPr>
      </w:pPr>
      <w:r>
        <w:rPr>
          <w:rFonts w:ascii="Times New Roman" w:hAnsi="Arial" w:eastAsia="宋体" w:cs="Arial"/>
          <w:b/>
          <w:bCs/>
          <w:color w:val="953735" w:themeColor="accent2" w:themeShade="BF"/>
          <w:sz w:val="28"/>
        </w:rPr>
        <w:t>图表使用技巧：国赛一等奖报告中图表数量建议控制在8-12张，单张不超过半页，优先选用“表格+流程图+雷达图”组合，数据来源需标注清晰，图表标题简洁准确，与正文内容强关联，避免冗余装饰，突出“数据佐证、逻辑清晰”核心要求。</w:t>
      </w:r>
    </w:p>
    <w:p w14:paraId="1B28C37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hAnsi="Arial" w:eastAsia="宋体" w:cs="Arial"/>
          <w:sz w:val="28"/>
        </w:rPr>
      </w:pPr>
    </w:p>
    <w:p w14:paraId="1CD8A06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rPr>
          <w:rFonts w:ascii="Times New Roman" w:eastAsia="宋体"/>
          <w:b/>
          <w:bCs/>
          <w:color w:val="FF0000"/>
          <w:sz w:val="28"/>
        </w:rPr>
      </w:pPr>
      <w:r>
        <w:rPr>
          <w:rFonts w:ascii="Times New Roman" w:hAnsi="Arial" w:eastAsia="宋体" w:cs="Arial"/>
          <w:b/>
          <w:bCs/>
          <w:color w:val="FF0000"/>
          <w:sz w:val="28"/>
        </w:rPr>
        <w:t>说明：以下范本节选基于第四届全国高校教师教学创新大赛一等奖真实成果，严格遵循“问题导向-创新落地-成效佐证”逻辑，突出学科特色与创新亮点，</w:t>
      </w:r>
      <w:r>
        <w:rPr>
          <w:rFonts w:hint="eastAsia" w:ascii="Times New Roman" w:hAnsi="Arial" w:eastAsia="宋体" w:cs="Arial"/>
          <w:b/>
          <w:bCs/>
          <w:color w:val="FF0000"/>
          <w:sz w:val="28"/>
          <w:lang w:val="en-US" w:eastAsia="zh-CN"/>
        </w:rPr>
        <w:t>详细文本请自行搜索</w:t>
      </w:r>
      <w:r>
        <w:rPr>
          <w:rFonts w:ascii="Times New Roman" w:hAnsi="Arial" w:eastAsia="宋体" w:cs="Arial"/>
          <w:b/>
          <w:bCs/>
          <w:color w:val="FF0000"/>
          <w:sz w:val="28"/>
        </w:rPr>
        <w:t>。</w:t>
      </w:r>
    </w:p>
    <w:p w14:paraId="23BE1B6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eastAsia="宋体"/>
          <w:b/>
          <w:sz w:val="30"/>
        </w:rPr>
      </w:pPr>
      <w:bookmarkStart w:id="33" w:name="heading_56"/>
      <w:r>
        <w:rPr>
          <w:rFonts w:ascii="Times New Roman" w:hAnsi="Arial" w:eastAsia="宋体" w:cs="Arial"/>
          <w:b/>
          <w:sz w:val="30"/>
        </w:rPr>
        <w:t>一</w:t>
      </w:r>
      <w:r>
        <w:rPr>
          <w:rFonts w:hint="eastAsia" w:ascii="Times New Roman" w:hAnsi="Arial" w:eastAsia="宋体" w:cs="Arial"/>
          <w:b/>
          <w:sz w:val="30"/>
          <w:lang w:eastAsia="zh-CN"/>
        </w:rPr>
        <w:t>、</w:t>
      </w:r>
      <w:r>
        <w:rPr>
          <w:rFonts w:ascii="Times New Roman" w:hAnsi="Arial" w:eastAsia="宋体" w:cs="Arial"/>
          <w:b/>
          <w:sz w:val="30"/>
        </w:rPr>
        <w:t>新工科赛道范本节选——《计算机图形学》（华中科技大学万琳教授团队，正高组一等奖）</w:t>
      </w:r>
      <w:bookmarkEnd w:id="33"/>
    </w:p>
    <w:p w14:paraId="641F896C">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34" w:name="heading_57"/>
      <w:r>
        <w:rPr>
          <w:rFonts w:ascii="Times New Roman" w:hAnsi="Arial" w:eastAsia="宋体" w:cs="Arial"/>
          <w:b/>
          <w:sz w:val="28"/>
        </w:rPr>
        <w:t>1.成果概述（350字）</w:t>
      </w:r>
      <w:bookmarkEnd w:id="34"/>
    </w:p>
    <w:p w14:paraId="4364336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本成果依托《计算机图形学》（软件工程专业核心必修课，面向大三学生），聚焦新工科背景下“图形引擎开发人才培养与产业需求脱节、学生工程实践能力薄弱”核心痛点，提出“回归·迭代·激活”三维创新理念，构建“认知-能力-创新”三阶进阶体系。核心创新点：①回归学科本质，重构“原理-实现-优化”知识链条；②多轮迭代实践，设计“基础任务-综合项目-创新挑战”阶梯式任务；③技术赋能激活，研发可视化实践平台与动态案例库。通过3年实践，学生引擎开发能力达标率从62%提升至91%，课程获评国家级一流本科课程，形成可复制的新工科技术核心课程创新模式。</w:t>
      </w:r>
    </w:p>
    <w:p w14:paraId="44F233D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35" w:name="heading_58"/>
      <w:r>
        <w:rPr>
          <w:rFonts w:ascii="Times New Roman" w:hAnsi="Arial" w:eastAsia="宋体" w:cs="Arial"/>
          <w:b/>
          <w:sz w:val="28"/>
        </w:rPr>
        <w:t>2.核心教学痛点</w:t>
      </w:r>
      <w:bookmarkEnd w:id="35"/>
    </w:p>
    <w:p w14:paraId="64A709B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imes New Roman" w:hAnsi="Arial" w:eastAsia="宋体" w:cs="Arial"/>
          <w:sz w:val="28"/>
          <w:lang w:eastAsia="zh-CN"/>
        </w:rPr>
      </w:pPr>
      <w:r>
        <w:rPr>
          <w:rFonts w:ascii="Times New Roman" w:hAnsi="Arial" w:eastAsia="宋体" w:cs="Arial"/>
          <w:sz w:val="28"/>
        </w:rPr>
        <w:t>（1）痛点一：知识体系碎片化，与产业需求脱节</w:t>
      </w:r>
    </w:p>
    <w:p w14:paraId="6A30E6D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imes New Roman" w:hAnsi="Arial" w:eastAsia="宋体" w:cs="Arial"/>
          <w:sz w:val="28"/>
          <w:lang w:eastAsia="zh-CN"/>
        </w:rPr>
      </w:pPr>
      <w:r>
        <w:rPr>
          <w:rFonts w:ascii="Times New Roman" w:hAnsi="Arial" w:eastAsia="宋体" w:cs="Arial"/>
          <w:sz w:val="28"/>
        </w:rPr>
        <w:t>具体表现：传统课程按“理论章节”授课，75%知识点缺乏工程应用载体，学生无法理解原理与引擎开发的关联；</w:t>
      </w:r>
    </w:p>
    <w:p w14:paraId="6228546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left"/>
        <w:textAlignment w:val="auto"/>
        <w:rPr>
          <w:rFonts w:hint="eastAsia" w:ascii="Times New Roman" w:hAnsi="Arial" w:eastAsia="宋体" w:cs="Arial"/>
          <w:b/>
          <w:bCs/>
          <w:color w:val="953735" w:themeColor="accent2" w:themeShade="BF"/>
          <w:sz w:val="28"/>
          <w:lang w:eastAsia="zh-CN"/>
        </w:rPr>
      </w:pPr>
      <w:r>
        <w:rPr>
          <w:rFonts w:ascii="Times New Roman" w:hAnsi="Arial" w:eastAsia="宋体" w:cs="Arial"/>
          <w:b/>
          <w:bCs/>
          <w:color w:val="953735" w:themeColor="accent2" w:themeShade="BF"/>
          <w:sz w:val="28"/>
        </w:rPr>
        <w:t>佐证</w:t>
      </w:r>
      <w:r>
        <w:rPr>
          <w:rFonts w:hint="eastAsia" w:ascii="Times New Roman" w:hAnsi="Arial" w:eastAsia="宋体" w:cs="Arial"/>
          <w:b/>
          <w:bCs/>
          <w:color w:val="953735" w:themeColor="accent2" w:themeShade="BF"/>
          <w:sz w:val="28"/>
          <w:lang w:val="en-US" w:eastAsia="zh-CN"/>
        </w:rPr>
        <w:t>图片</w:t>
      </w:r>
      <w:r>
        <w:rPr>
          <w:rFonts w:ascii="Times New Roman" w:hAnsi="Arial" w:eastAsia="宋体" w:cs="Arial"/>
          <w:b/>
          <w:bCs/>
          <w:color w:val="953735" w:themeColor="accent2" w:themeShade="BF"/>
          <w:sz w:val="28"/>
        </w:rPr>
        <w:t>：2021年行业调研显示，88%企业认为毕业生“懂理论、不会开发”；学生问卷显示，76%反馈“不知知识如何应用于实际项目”。</w:t>
      </w:r>
    </w:p>
    <w:p w14:paraId="5156E4B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imes New Roman" w:hAnsi="Arial" w:eastAsia="宋体" w:cs="Arial"/>
          <w:sz w:val="28"/>
          <w:lang w:eastAsia="zh-CN"/>
        </w:rPr>
      </w:pPr>
      <w:r>
        <w:rPr>
          <w:rFonts w:ascii="Times New Roman" w:hAnsi="Arial" w:eastAsia="宋体" w:cs="Arial"/>
          <w:sz w:val="28"/>
        </w:rPr>
        <w:t>（2）痛点二：实践模式单一，能力进阶无支撑</w:t>
      </w:r>
    </w:p>
    <w:p w14:paraId="065D98C6">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rPr>
          <w:rFonts w:hint="eastAsia" w:ascii="Times New Roman" w:hAnsi="Arial" w:eastAsia="宋体" w:cs="Arial"/>
          <w:sz w:val="28"/>
          <w:lang w:eastAsia="zh-CN"/>
        </w:rPr>
      </w:pPr>
      <w:r>
        <w:rPr>
          <w:rFonts w:ascii="Times New Roman" w:hAnsi="Arial" w:eastAsia="宋体" w:cs="Arial"/>
          <w:sz w:val="28"/>
        </w:rPr>
        <w:t>具体表现：仅设置1个期末综合实验，缺乏分层指导，基础薄弱学生难以完成，优秀学生无法突破；</w:t>
      </w:r>
    </w:p>
    <w:p w14:paraId="38F0C0E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left"/>
        <w:textAlignment w:val="auto"/>
        <w:rPr>
          <w:rFonts w:ascii="Times New Roman" w:eastAsia="宋体"/>
          <w:b/>
          <w:bCs/>
          <w:color w:val="953735" w:themeColor="accent2" w:themeShade="BF"/>
          <w:sz w:val="28"/>
        </w:rPr>
      </w:pPr>
      <w:r>
        <w:rPr>
          <w:rFonts w:ascii="Times New Roman" w:hAnsi="Arial" w:eastAsia="宋体" w:cs="Arial"/>
          <w:b/>
          <w:bCs/>
          <w:color w:val="953735" w:themeColor="accent2" w:themeShade="BF"/>
          <w:sz w:val="28"/>
        </w:rPr>
        <w:t>佐证</w:t>
      </w:r>
      <w:r>
        <w:rPr>
          <w:rFonts w:hint="eastAsia" w:ascii="Times New Roman" w:hAnsi="Arial" w:eastAsia="宋体" w:cs="Arial"/>
          <w:b/>
          <w:bCs/>
          <w:color w:val="953735" w:themeColor="accent2" w:themeShade="BF"/>
          <w:sz w:val="28"/>
          <w:lang w:val="en-US" w:eastAsia="zh-CN"/>
        </w:rPr>
        <w:t>图片</w:t>
      </w:r>
      <w:r>
        <w:rPr>
          <w:rFonts w:ascii="Times New Roman" w:hAnsi="Arial" w:eastAsia="宋体" w:cs="Arial"/>
          <w:b/>
          <w:bCs/>
          <w:color w:val="953735" w:themeColor="accent2" w:themeShade="BF"/>
          <w:sz w:val="28"/>
        </w:rPr>
        <w:t>：2021-2022学年，期末实验完成率仅78%，优秀率不足20%；访谈中65%学生希望增加阶梯式实践任务。</w:t>
      </w:r>
    </w:p>
    <w:p w14:paraId="71E612D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36" w:name="heading_59"/>
      <w:r>
        <w:rPr>
          <w:rFonts w:ascii="Times New Roman" w:hAnsi="Arial" w:eastAsia="宋体" w:cs="Arial"/>
          <w:b/>
          <w:sz w:val="28"/>
        </w:rPr>
        <w:t>3.核心创新内容与实践路径</w:t>
      </w:r>
      <w:bookmarkEnd w:id="36"/>
    </w:p>
    <w:p w14:paraId="0082867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创新点一：内容创新——“原理-实现-优化”三维知识重构</w:t>
      </w:r>
    </w:p>
    <w:p w14:paraId="025B744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创新内涵：突破传统理论与实践割裂的编排模式，以图形引擎开发全流程为线索，将离散知识点整合为“基础渲染-核心模块-性能优化”三大模块，实现“学用一体”。</w:t>
      </w:r>
    </w:p>
    <w:p w14:paraId="3B968DB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实践路径：①组建“高校教师+企业工程师”团队，提炼3个核心岗位能力（引擎架构设计、渲染算法实现、性能优化），反向设计课程内容；②开发“引擎开发任务包”，融入元宇宙、智能制造等产业最新案例，替代80%传统虚拟案例；③建立内容动态更新机制，每学期新增5-6个行业前沿技术点（如光线追踪优化）。</w:t>
      </w:r>
    </w:p>
    <w:p w14:paraId="16F453E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落地场景：在“光照渲染”模块，结合某元宇宙企业真实渲染需求，设计“从基础光照模型到实时全局光照实现”递进式任务，企业工程师线上指导优化环节。</w:t>
      </w:r>
    </w:p>
    <w:p w14:paraId="3167CFD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37" w:name="heading_60"/>
      <w:r>
        <w:rPr>
          <w:rFonts w:ascii="Times New Roman" w:hAnsi="Arial" w:eastAsia="宋体" w:cs="Arial"/>
          <w:b/>
          <w:sz w:val="28"/>
        </w:rPr>
        <w:t>4.教学创新成效</w:t>
      </w:r>
      <w:bookmarkEnd w:id="37"/>
    </w:p>
    <w:p w14:paraId="410E2DF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学生发展成效：①能力提升：91%学生能独立完成小型图形引擎开发，较改革前提升29个百分点；学生获全国大学生计算机设计竞赛一等奖3项，较改革前增长2倍；②就业质量：毕业生进入字节跳动、华为等企业引擎开发岗位比例从35%提升至68%，用人单位满意度达95%。</w:t>
      </w:r>
    </w:p>
    <w:p w14:paraId="64CA131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示范辐射成效：成果在5所同类院校推广，覆盖学生3200余人；举办全国性教学研讨会3场，编制《图形引擎开发课程教学指南》供同行参考。</w:t>
      </w:r>
    </w:p>
    <w:p w14:paraId="2C006E6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hAnsi="Arial" w:eastAsia="宋体" w:cs="Arial"/>
          <w:b/>
          <w:sz w:val="30"/>
        </w:rPr>
      </w:pPr>
      <w:bookmarkStart w:id="38" w:name="heading_61"/>
    </w:p>
    <w:p w14:paraId="1522BFF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eastAsia="宋体"/>
          <w:b/>
          <w:sz w:val="30"/>
        </w:rPr>
      </w:pPr>
      <w:r>
        <w:rPr>
          <w:rFonts w:ascii="Times New Roman" w:hAnsi="Arial" w:eastAsia="宋体" w:cs="Arial"/>
          <w:b/>
          <w:sz w:val="30"/>
        </w:rPr>
        <w:t>二</w:t>
      </w:r>
      <w:r>
        <w:rPr>
          <w:rFonts w:hint="eastAsia" w:ascii="Times New Roman" w:hAnsi="Arial" w:eastAsia="宋体" w:cs="Arial"/>
          <w:b/>
          <w:sz w:val="30"/>
          <w:lang w:eastAsia="zh-CN"/>
        </w:rPr>
        <w:t>、</w:t>
      </w:r>
      <w:r>
        <w:rPr>
          <w:rFonts w:ascii="Times New Roman" w:hAnsi="Arial" w:eastAsia="宋体" w:cs="Arial"/>
          <w:b/>
          <w:sz w:val="30"/>
        </w:rPr>
        <w:t>新医科赛道范本节选——《医学导论》（华中科技大学褚倩教授团队，正高组一等奖）</w:t>
      </w:r>
      <w:bookmarkEnd w:id="38"/>
    </w:p>
    <w:p w14:paraId="2175B1A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39" w:name="heading_62"/>
      <w:r>
        <w:rPr>
          <w:rFonts w:ascii="Times New Roman" w:hAnsi="Arial" w:eastAsia="宋体" w:cs="Arial"/>
          <w:b/>
          <w:sz w:val="28"/>
        </w:rPr>
        <w:t>1.成果概述（340字）</w:t>
      </w:r>
      <w:bookmarkEnd w:id="39"/>
    </w:p>
    <w:p w14:paraId="2818055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本成果依托《医学导论》（临床医学专业入门必修课，面向大一新生），聚焦“医学生职业认同模糊、医学思维缺失、理论与临床脱节”核心痛点，践行“导医学思维、论学术真谛、引成才之道”创新理念，构建“内容重构-场景拓展-评价优化”三维创新体系。核心创新点：①内容重构强深度，融入课程思政与临床前沿；②行走课堂拓宽度，打造医教/科教/产教融合实践场景；③多元评价长能力，建立“过程-成果-素养”综合评价体系。实践后学生职业认同优良率达98%，课程获评教育部课程思政示范课程，团队获教育部课程思政教学名师称号，形成新医科入门课程育人新模式。</w:t>
      </w:r>
    </w:p>
    <w:p w14:paraId="29C38B9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40" w:name="heading_63"/>
      <w:r>
        <w:rPr>
          <w:rFonts w:ascii="Times New Roman" w:hAnsi="Arial" w:eastAsia="宋体" w:cs="Arial"/>
          <w:b/>
          <w:sz w:val="28"/>
        </w:rPr>
        <w:t>2.核心创新内容与实践路径</w:t>
      </w:r>
      <w:bookmarkEnd w:id="40"/>
    </w:p>
    <w:p w14:paraId="5A741898">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创新点二：方法创新——“行走课堂+三方融合”沉浸式育人</w:t>
      </w:r>
    </w:p>
    <w:p w14:paraId="216B9CF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创新内涵：突破传统课堂局限，将医教、科教、产教融合融入教学全流程，通过“真实场景体验+前沿问题探究”，培养学生医学思维与职业素养。</w:t>
      </w:r>
    </w:p>
    <w:p w14:paraId="20D316B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实践路径：①打造“三类行走课堂”：临床观摩课堂（走进三甲医院科室）、科研探究课堂（进入国家级实验室）、健康科普课堂（深入社区服务）；②建立“双导师”制度：为每位学生配备“高校教师+临床医师”导师，全程指导学习与实践；③设计“情境化任务”：结合疫情防控、健康中国等国家战略，布置“社区健康调研”“临床案例分析”等任务。</w:t>
      </w:r>
    </w:p>
    <w:p w14:paraId="6764514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落地场景：组织学生走进呼吸内科病房，观摩肺部疾病诊疗全流程，课后分组完成“基于患者视角的诊疗体验分析”报告，由临床医师点评指导，渗透“以患者为中心”的职业理念。</w:t>
      </w:r>
    </w:p>
    <w:p w14:paraId="1E01E6B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hAnsi="Arial" w:eastAsia="宋体" w:cs="Arial"/>
          <w:b/>
          <w:sz w:val="30"/>
        </w:rPr>
      </w:pPr>
      <w:bookmarkStart w:id="41" w:name="heading_64"/>
    </w:p>
    <w:p w14:paraId="384F923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602" w:firstLineChars="200"/>
        <w:jc w:val="both"/>
        <w:textAlignment w:val="auto"/>
        <w:outlineLvl w:val="1"/>
        <w:rPr>
          <w:rFonts w:ascii="Times New Roman" w:eastAsia="宋体"/>
          <w:b/>
          <w:sz w:val="30"/>
        </w:rPr>
      </w:pPr>
      <w:r>
        <w:rPr>
          <w:rFonts w:ascii="Times New Roman" w:hAnsi="Arial" w:eastAsia="宋体" w:cs="Arial"/>
          <w:b/>
          <w:sz w:val="30"/>
        </w:rPr>
        <w:t>三</w:t>
      </w:r>
      <w:r>
        <w:rPr>
          <w:rFonts w:hint="eastAsia" w:ascii="Times New Roman" w:hAnsi="Arial" w:eastAsia="宋体" w:cs="Arial"/>
          <w:b/>
          <w:sz w:val="30"/>
          <w:lang w:eastAsia="zh-CN"/>
        </w:rPr>
        <w:t>、</w:t>
      </w:r>
      <w:r>
        <w:rPr>
          <w:rFonts w:ascii="Times New Roman" w:hAnsi="Arial" w:eastAsia="宋体" w:cs="Arial"/>
          <w:b/>
          <w:sz w:val="30"/>
        </w:rPr>
        <w:t>新文科赛道范本节选——《财务报表分析》（华中科技大学郭炜教授团队，副高组一等奖）</w:t>
      </w:r>
      <w:bookmarkEnd w:id="41"/>
    </w:p>
    <w:p w14:paraId="6834380B">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42" w:name="heading_65"/>
      <w:r>
        <w:rPr>
          <w:rFonts w:ascii="Times New Roman" w:hAnsi="Arial" w:eastAsia="宋体" w:cs="Arial"/>
          <w:b/>
          <w:sz w:val="28"/>
        </w:rPr>
        <w:t>1.成果概述（330字）</w:t>
      </w:r>
      <w:bookmarkEnd w:id="42"/>
    </w:p>
    <w:p w14:paraId="0134D3D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本成果依托《财务报表分析》（财务管理专业核心必修课，面向大二学生），聚焦新文科背景下“课程实践性不足、跨学科融合不够、评价方式单一”痛点，构建“两全两化”（全流程、全方位、情境化、信息化）混合式教学体系。核心创新点：①“校内跨学科+校外融实务”共建教学共同体；②全流程情境化案例教学，提升知行合一能力；③三维多元评价，强化过程性反馈。通过实践，学生财务分析实操能力达标率从70%提升至93%，课程获评2门国家线上一流课程，慕课学习人数超18万人，形成可推广的新文科经管类课程创新模式。</w:t>
      </w:r>
    </w:p>
    <w:p w14:paraId="52115ED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2" w:firstLineChars="200"/>
        <w:jc w:val="both"/>
        <w:textAlignment w:val="auto"/>
        <w:outlineLvl w:val="2"/>
        <w:rPr>
          <w:rFonts w:ascii="Times New Roman" w:eastAsia="宋体"/>
          <w:b/>
          <w:sz w:val="28"/>
        </w:rPr>
      </w:pPr>
      <w:bookmarkStart w:id="43" w:name="heading_66"/>
      <w:r>
        <w:rPr>
          <w:rFonts w:ascii="Times New Roman" w:hAnsi="Arial" w:eastAsia="宋体" w:cs="Arial"/>
          <w:b/>
          <w:sz w:val="28"/>
        </w:rPr>
        <w:t>2.核心创新内容与实践路径</w:t>
      </w:r>
      <w:bookmarkEnd w:id="43"/>
    </w:p>
    <w:p w14:paraId="15216F8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创新点三：评价创新——“全流程三维多元”评价体系</w:t>
      </w:r>
    </w:p>
    <w:p w14:paraId="029FE66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创新内涵：突破“期末一次考核”模式，构建“知识掌握-能力应用-素养培育”三维维度，整合“教师-同伴-行业”三方评价主体，实现评价精准化与全面化。</w:t>
      </w:r>
    </w:p>
    <w:p w14:paraId="79F72E9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hint="eastAsia" w:ascii="Times New Roman" w:hAnsi="Arial" w:eastAsia="宋体" w:cs="Arial"/>
          <w:sz w:val="28"/>
          <w:lang w:eastAsia="zh-CN"/>
        </w:rPr>
      </w:pPr>
      <w:r>
        <w:rPr>
          <w:rFonts w:ascii="Times New Roman" w:hAnsi="Arial" w:eastAsia="宋体" w:cs="Arial"/>
          <w:sz w:val="28"/>
        </w:rPr>
        <w:t>实践路径：①评价维度权重：知识掌握（30%，含课堂测验、作业）、能力应用（45%，含案例分析、项目报告）、素养培育（25%，含团队协作、职业伦理）；②评价主体：教师评价（50%）、同伴互评（20%）、行业专家评价（30%，企业财务总监点评项目报告）；③反馈机制：每单元开展即时反馈，每月进行阶段性复盘，建立学生学习成长档案。</w:t>
      </w:r>
    </w:p>
    <w:p w14:paraId="36815EC7">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r>
        <w:rPr>
          <w:rFonts w:ascii="Times New Roman" w:hAnsi="Arial" w:eastAsia="宋体" w:cs="Arial"/>
          <w:sz w:val="28"/>
        </w:rPr>
        <w:t>落地场景：学生完成“某上市公司财务风险分析”项目后，提交分析报告，由教师评分（50分）、小组互评（20分）、企业财务总监点评（30分），针对“风险识别不精准”等问题提供个性化改进建议。</w:t>
      </w:r>
    </w:p>
    <w:p w14:paraId="02C338F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right="0" w:rightChars="0" w:firstLine="560" w:firstLineChars="200"/>
        <w:jc w:val="both"/>
        <w:textAlignment w:val="auto"/>
        <w:rPr>
          <w:rFonts w:ascii="Times New Roman" w:eastAsia="宋体"/>
          <w:sz w:val="28"/>
        </w:rPr>
      </w:pPr>
    </w:p>
    <w:sectPr>
      <w:footerReference r:id="rId3"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B04D58">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EBF8241">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3EBF8241">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isplayHorizontalDrawingGridEvery w:val="1"/>
  <w:displayVerticalDrawingGridEvery w:val="1"/>
  <w:noPunctuationKerning w:val="1"/>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C35693"/>
    <w:rsid w:val="0D28776F"/>
    <w:rsid w:val="11F8418B"/>
    <w:rsid w:val="12687563"/>
    <w:rsid w:val="12BA7692"/>
    <w:rsid w:val="1B6D1746"/>
    <w:rsid w:val="20196B2C"/>
    <w:rsid w:val="20D564EE"/>
    <w:rsid w:val="2604539D"/>
    <w:rsid w:val="28497097"/>
    <w:rsid w:val="28EB4394"/>
    <w:rsid w:val="2E9B6172"/>
    <w:rsid w:val="2FF46F70"/>
    <w:rsid w:val="36483084"/>
    <w:rsid w:val="38C20ECB"/>
    <w:rsid w:val="3F520ACF"/>
    <w:rsid w:val="40414DCB"/>
    <w:rsid w:val="5D3970FE"/>
    <w:rsid w:val="66DD4F9F"/>
    <w:rsid w:val="678C0773"/>
    <w:rsid w:val="6A3545F8"/>
    <w:rsid w:val="6E7D64E9"/>
    <w:rsid w:val="72095D2E"/>
    <w:rsid w:val="73CF3EC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20</Pages>
  <Words>10327</Words>
  <Characters>10866</Characters>
  <TotalTime>36</TotalTime>
  <ScaleCrop>false</ScaleCrop>
  <LinksUpToDate>false</LinksUpToDate>
  <CharactersWithSpaces>10867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2025-12-16T16:43:00Z</dcterms:created>
  <dc:creator>Apache POI</dc:creator>
  <cp:lastModifiedBy>张文超</cp:lastModifiedBy>
  <dcterms:modified xsi:type="dcterms:W3CDTF">2025-12-17T00:57:12Z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eyJoZGlkIjoiOGE4YTFhY2NlOTA5MGE5YWFjMDk2NWI3NmRjMjFhMGYiLCJ1c2VySWQiOiIxMjExODI1NTQ0In0=</vt:lpwstr>
  </property>
  <property fmtid="{D5CDD505-2E9C-101B-9397-08002B2CF9AE}" pid="3" name="KSOProductBuildVer">
    <vt:lpwstr>2052-12.1.0.24034</vt:lpwstr>
  </property>
  <property fmtid="{D5CDD505-2E9C-101B-9397-08002B2CF9AE}" pid="4" name="ICV">
    <vt:lpwstr>D4E4A54EA8E248B8970CF6B89B3FB7D1_13</vt:lpwstr>
  </property>
</Properties>
</file>