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9E3E3">
      <w:pPr>
        <w:widowControl/>
        <w:spacing w:line="360" w:lineRule="auto"/>
        <w:jc w:val="center"/>
        <w:rPr>
          <w:rFonts w:hint="eastAsia" w:ascii="方正仿宋_GB2312" w:hAnsi="方正仿宋_GB2312" w:eastAsia="方正仿宋_GB2312" w:cs="方正仿宋_GB2312"/>
          <w:b/>
          <w:color w:val="auto"/>
          <w:kern w:val="0"/>
          <w:sz w:val="36"/>
          <w:szCs w:val="36"/>
        </w:rPr>
      </w:pPr>
      <w:bookmarkStart w:id="3" w:name="_GoBack"/>
      <w:bookmarkEnd w:id="3"/>
      <w:r>
        <w:rPr>
          <w:rFonts w:hint="eastAsia" w:ascii="方正仿宋_GB2312" w:hAnsi="方正仿宋_GB2312" w:eastAsia="方正仿宋_GB2312" w:cs="方正仿宋_GB2312"/>
          <w:b/>
          <w:color w:val="auto"/>
          <w:kern w:val="0"/>
          <w:sz w:val="36"/>
          <w:szCs w:val="36"/>
        </w:rPr>
        <w:t>联合国国际组织人才培养项目</w:t>
      </w:r>
    </w:p>
    <w:p w14:paraId="0FC0FE4A">
      <w:pPr>
        <w:widowControl/>
        <w:spacing w:line="360" w:lineRule="auto"/>
        <w:jc w:val="center"/>
        <w:rPr>
          <w:rFonts w:hint="eastAsia" w:ascii="方正仿宋_GB2312" w:hAnsi="方正仿宋_GB2312" w:eastAsia="方正仿宋_GB2312" w:cs="方正仿宋_GB2312"/>
          <w:bCs/>
          <w:color w:val="auto"/>
          <w:kern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kern w:val="0"/>
          <w:sz w:val="36"/>
          <w:szCs w:val="36"/>
        </w:rPr>
        <w:t>The United Nations Immersion Programme</w:t>
      </w:r>
    </w:p>
    <w:p w14:paraId="7BC6DECD">
      <w:pPr>
        <w:widowControl/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auto"/>
        </w:rPr>
      </w:pPr>
    </w:p>
    <w:p w14:paraId="335B0DDA">
      <w:pPr>
        <w:widowControl/>
        <w:spacing w:line="360" w:lineRule="auto"/>
        <w:jc w:val="left"/>
        <w:rPr>
          <w:rFonts w:hint="eastAsia" w:ascii="方正仿宋_GB2312" w:hAnsi="方正仿宋_GB2312" w:eastAsia="方正仿宋_GB2312" w:cs="方正仿宋_GB2312"/>
          <w:b/>
          <w:bCs/>
          <w:color w:val="auto"/>
          <w:kern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0"/>
          <w:sz w:val="30"/>
          <w:szCs w:val="30"/>
        </w:rPr>
        <w:t xml:space="preserve">、 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</w:rPr>
        <w:t>联合国训练研究所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0"/>
          <w:sz w:val="30"/>
          <w:szCs w:val="30"/>
        </w:rPr>
        <w:t>简介</w:t>
      </w:r>
    </w:p>
    <w:p w14:paraId="0DB522BF">
      <w:pPr>
        <w:spacing w:line="360" w:lineRule="auto"/>
        <w:ind w:firstLine="600" w:firstLineChars="200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联合国训练研究所（United Nations Institute for Training and Research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简称UNITAR）成立于1965年，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是联合国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下属的外交与国际事务人才培养专业机构，旨在提升联合国与其成员国的工作效能。每年，该机构设计和举办近500次不同的训练和知识共享活动，惠及全球约5万名参与者，其中包括外交官、其他政府官员、非政府组织代表、地方政府以及其他利益相关方。</w:t>
      </w:r>
    </w:p>
    <w:p w14:paraId="1DCFCEC3">
      <w:pPr>
        <w:widowControl/>
        <w:spacing w:line="360" w:lineRule="auto"/>
        <w:jc w:val="left"/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  <w:t>、项目详情</w:t>
      </w:r>
    </w:p>
    <w:p w14:paraId="2752D513">
      <w:pPr>
        <w:widowControl/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【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  <w:t>课程日期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】</w:t>
      </w:r>
    </w:p>
    <w:p w14:paraId="3AB107D5">
      <w:pPr>
        <w:widowControl/>
        <w:spacing w:line="360" w:lineRule="auto"/>
        <w:ind w:firstLine="600" w:firstLineChars="200"/>
        <w:jc w:val="left"/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</w:pPr>
      <w:bookmarkStart w:id="0" w:name="_Hlk50987326"/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2026年1月31日 – 2月9日</w:t>
      </w:r>
      <w:bookmarkEnd w:id="0"/>
    </w:p>
    <w:p w14:paraId="3CD28F48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【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  <w:t>授课模式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】</w:t>
      </w:r>
    </w:p>
    <w:p w14:paraId="334AF20A">
      <w:pPr>
        <w:pStyle w:val="7"/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bookmarkStart w:id="1" w:name="_Hlk100578798"/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</w:rPr>
        <w:t>授课形式将包括系列专题讲座、专题研讨会、实地参访、</w:t>
      </w:r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  <w:lang w:val="en-US" w:eastAsia="zh-CN"/>
        </w:rPr>
        <w:t>国际</w:t>
      </w:r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</w:rPr>
        <w:t>会议模拟演习、小组研究项目、城市体验等多个环节</w:t>
      </w:r>
      <w:bookmarkEnd w:id="1"/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</w:rPr>
        <w:br w:type="textWrapping"/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【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  <w:t>课程内容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】</w:t>
      </w:r>
    </w:p>
    <w:p w14:paraId="1E396FB8">
      <w:pPr>
        <w:widowControl/>
        <w:spacing w:line="360" w:lineRule="auto"/>
        <w:ind w:firstLine="600" w:firstLineChars="200"/>
        <w:jc w:val="left"/>
        <w:rPr>
          <w:rFonts w:hint="eastAsia" w:ascii="方正仿宋_GB2312" w:hAnsi="方正仿宋_GB2312" w:eastAsia="方正仿宋_GB2312" w:cs="方正仿宋_GB2312"/>
          <w:color w:val="auto"/>
          <w:kern w:val="21"/>
          <w:szCs w:val="21"/>
        </w:rPr>
      </w:pPr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</w:rPr>
        <w:t>学生将赴瑞士日内瓦，实地参加UNITAR的实训项目。本阶段的实训项目重点关注“联合国系统与会议外交”以及“联合国人权、可持续发展目标与职业”两大方面的主题，包括以下几个训练模块：</w:t>
      </w:r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</w:rPr>
        <w:br w:type="textWrapping"/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5891"/>
      </w:tblGrid>
      <w:tr w14:paraId="67BFA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 w14:paraId="629A28A5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1"/>
                <w:sz w:val="24"/>
                <w:szCs w:val="24"/>
              </w:rPr>
              <w:t>模块</w:t>
            </w:r>
          </w:p>
        </w:tc>
        <w:tc>
          <w:tcPr>
            <w:tcW w:w="5891" w:type="dxa"/>
          </w:tcPr>
          <w:p w14:paraId="780B40E7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1"/>
                <w:sz w:val="24"/>
                <w:szCs w:val="24"/>
              </w:rPr>
              <w:t>内容简介</w:t>
            </w:r>
          </w:p>
        </w:tc>
      </w:tr>
      <w:tr w14:paraId="57AE4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6D42DA70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一、联合国与国际组织专家讲座</w:t>
            </w:r>
          </w:p>
        </w:tc>
        <w:tc>
          <w:tcPr>
            <w:tcW w:w="5891" w:type="dxa"/>
            <w:vAlign w:val="center"/>
          </w:tcPr>
          <w:p w14:paraId="765943D6">
            <w:pPr>
              <w:widowControl/>
              <w:spacing w:line="360" w:lineRule="auto"/>
              <w:ind w:firstLine="480" w:firstLineChars="20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UNITAR将邀请常驻日内瓦的联合国机构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eastAsia="zh-CN"/>
              </w:rPr>
              <w:t>与其他国际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组织的代表，为学生带来一系列专家讲座，学生将有机会直接与这些一线的外交官或国际事务专家交流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eastAsia="zh-CN"/>
              </w:rPr>
              <w:t>。</w:t>
            </w:r>
          </w:p>
          <w:p w14:paraId="25E84B4E">
            <w:pPr>
              <w:widowControl/>
              <w:spacing w:line="360" w:lineRule="auto"/>
              <w:ind w:firstLine="480" w:firstLineChars="20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备选的机构或组织包括（以实际安排为准）：</w:t>
            </w:r>
          </w:p>
          <w:p w14:paraId="2F147541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联合国日内瓦办事处（UNOG）</w:t>
            </w:r>
          </w:p>
          <w:p w14:paraId="49530D0A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联合国人权事务高级专员（OHCHR）</w:t>
            </w:r>
          </w:p>
          <w:p w14:paraId="72B88BAC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联合国难民事务高级专员办事处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UNHCR）</w:t>
            </w:r>
          </w:p>
          <w:p w14:paraId="6F9A4414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联合国国际儿童基金会（UNICEF）</w:t>
            </w:r>
          </w:p>
          <w:p w14:paraId="4B48B709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联合国环境规划署（UNEP）</w:t>
            </w:r>
          </w:p>
          <w:p w14:paraId="29BE2D65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联合国开发计划署（UNDP）</w:t>
            </w:r>
          </w:p>
          <w:p w14:paraId="1AF8DE71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世界气象组织（WMO）</w:t>
            </w:r>
          </w:p>
          <w:p w14:paraId="05E6A1C4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世界卫生组织（WHO）</w:t>
            </w:r>
          </w:p>
          <w:p w14:paraId="4A451713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世界贸易组织（WTO）</w:t>
            </w:r>
          </w:p>
        </w:tc>
      </w:tr>
      <w:tr w14:paraId="360CA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334A4C17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二、联合国与国际组织实地参访</w:t>
            </w:r>
          </w:p>
        </w:tc>
        <w:tc>
          <w:tcPr>
            <w:tcW w:w="5891" w:type="dxa"/>
            <w:vAlign w:val="center"/>
          </w:tcPr>
          <w:p w14:paraId="09D53BBC">
            <w:pPr>
              <w:widowControl/>
              <w:spacing w:line="360" w:lineRule="auto"/>
              <w:ind w:firstLine="480" w:firstLineChars="20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日内瓦一直是外交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国际关系重地。 UNITAR将组织系列实地参访活动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学生将有机会参观著名的国际组织，如联合国万国宫、联合国人权事务高级专员所在地威尔逊宫、国际红十字博物馆、世界贸易组织（WTO）的设施、和平之家（国际问题研究生院和一些非政府组织的所在地）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。</w:t>
            </w:r>
          </w:p>
        </w:tc>
      </w:tr>
      <w:tr w14:paraId="7E2AD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690EF686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三、外交与领导力技能工作坊</w:t>
            </w:r>
          </w:p>
        </w:tc>
        <w:tc>
          <w:tcPr>
            <w:tcW w:w="5891" w:type="dxa"/>
            <w:vAlign w:val="center"/>
          </w:tcPr>
          <w:p w14:paraId="3104E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UNITAR将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围绕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以下主题，安排实务专家为学生组织相关技能提升训练：</w:t>
            </w:r>
          </w:p>
          <w:p w14:paraId="243270B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领导力技能</w:t>
            </w:r>
          </w:p>
          <w:p w14:paraId="2319B4C5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公众演讲技能</w:t>
            </w:r>
          </w:p>
          <w:p w14:paraId="1F38F05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谈判技能</w:t>
            </w:r>
          </w:p>
          <w:p w14:paraId="4F5BAE4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多边会议与外交</w:t>
            </w:r>
          </w:p>
          <w:p w14:paraId="0EB043F9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可持续发展目标（SDGs）</w:t>
            </w:r>
          </w:p>
          <w:p w14:paraId="58D801B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联合国礼仪</w:t>
            </w:r>
          </w:p>
          <w:p w14:paraId="4C66B44C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联合国与国际组织职业发展指导</w:t>
            </w:r>
          </w:p>
        </w:tc>
      </w:tr>
      <w:tr w14:paraId="11A47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 w14:paraId="37EB98F3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四、团队项目</w:t>
            </w:r>
          </w:p>
        </w:tc>
        <w:tc>
          <w:tcPr>
            <w:tcW w:w="5891" w:type="dxa"/>
            <w:vAlign w:val="center"/>
          </w:tcPr>
          <w:p w14:paraId="5499A198">
            <w:pPr>
              <w:widowControl/>
              <w:spacing w:line="360" w:lineRule="auto"/>
              <w:ind w:firstLine="480" w:firstLineChars="200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在参与实训期间，学生将以小组为单位，参加多种不同形式的团队项目，如：</w:t>
            </w:r>
          </w:p>
          <w:p w14:paraId="0932A0E8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分配小组研究任务，在项目结束进行演示</w:t>
            </w:r>
          </w:p>
          <w:p w14:paraId="243DDC97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在联合国会议室组织一次模拟联合国会议</w:t>
            </w:r>
          </w:p>
          <w:p w14:paraId="13308858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开展多边或可持续发展目标相关谈判的模拟演习</w:t>
            </w:r>
          </w:p>
          <w:p w14:paraId="72311655">
            <w:pPr>
              <w:pStyle w:val="7"/>
              <w:widowControl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策划一次向公众开放的会议或圆桌会议</w:t>
            </w:r>
          </w:p>
        </w:tc>
      </w:tr>
    </w:tbl>
    <w:p w14:paraId="2A31BAFF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Cs w:val="21"/>
        </w:rPr>
      </w:pPr>
    </w:p>
    <w:p w14:paraId="7F2376E8">
      <w:pPr>
        <w:spacing w:line="360" w:lineRule="auto"/>
        <w:ind w:firstLine="600" w:firstLineChars="200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此外，项目还将安排“职业发展”工作坊，为学生介绍如何开启职业生涯，找到走出大学、进入国际组织行业的路径，比如有关联合国系统初级职位和实习机会的介绍、联合国如何审查申请材料（如简历、嘉奖信、推荐信、领英个人资料等）、针对与联合国可持续发展目标相关的创业项目提供咨询等。</w:t>
      </w:r>
    </w:p>
    <w:p w14:paraId="193470AF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</w:p>
    <w:p w14:paraId="059250EC">
      <w:pPr>
        <w:spacing w:line="360" w:lineRule="auto"/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  <w:u w:val="single"/>
        </w:rPr>
      </w:pPr>
      <w:bookmarkStart w:id="2" w:name="_Hlk127273142"/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【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  <w:u w:val="none"/>
        </w:rPr>
        <w:t>文化活动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】</w:t>
      </w:r>
    </w:p>
    <w:bookmarkEnd w:id="2"/>
    <w:p w14:paraId="64858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除实训课程之外，项目还将为学生组织文化体验活动，使学生能够感受日内瓦这座历史名城的独特魅力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项目学生也有机会探访国际奥委会所在地洛桑、西庸古堡等日内瓦周边瑞士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与法国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边境特色城镇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，体验当地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风土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人情</w:t>
      </w:r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</w:rPr>
        <w:t>。</w:t>
      </w:r>
    </w:p>
    <w:p w14:paraId="413875A9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Cs w:val="21"/>
        </w:rPr>
      </w:pPr>
    </w:p>
    <w:p w14:paraId="2184B450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【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  <w:t>项目日程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】</w:t>
      </w:r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</w:rPr>
        <w:t>以下为参考日程，以项目方实际安排为准</w:t>
      </w:r>
      <w:r>
        <w:rPr>
          <w:rFonts w:hint="eastAsia" w:ascii="方正仿宋_GB2312" w:hAnsi="方正仿宋_GB2312" w:eastAsia="方正仿宋_GB2312" w:cs="方正仿宋_GB2312"/>
          <w:color w:val="auto"/>
          <w:kern w:val="21"/>
          <w:sz w:val="30"/>
          <w:szCs w:val="30"/>
          <w:lang w:eastAsia="zh-CN"/>
        </w:rPr>
        <w:t>）</w:t>
      </w:r>
    </w:p>
    <w:tbl>
      <w:tblPr>
        <w:tblStyle w:val="3"/>
        <w:tblW w:w="8080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6095"/>
      </w:tblGrid>
      <w:tr w14:paraId="7413E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 w14:paraId="1158E1CB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0"/>
                <w:sz w:val="24"/>
                <w:szCs w:val="24"/>
              </w:rPr>
              <w:t>日期</w:t>
            </w:r>
          </w:p>
        </w:tc>
        <w:tc>
          <w:tcPr>
            <w:tcW w:w="6095" w:type="dxa"/>
            <w:vAlign w:val="center"/>
          </w:tcPr>
          <w:p w14:paraId="189751B2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0"/>
                <w:sz w:val="24"/>
                <w:szCs w:val="24"/>
              </w:rPr>
              <w:t>内容安排</w:t>
            </w:r>
          </w:p>
        </w:tc>
      </w:tr>
      <w:tr w14:paraId="062BC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 w14:paraId="525C9DD1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</w:rPr>
              <w:t>2026.1.31</w:t>
            </w:r>
          </w:p>
          <w:p w14:paraId="7616CD3F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</w:rPr>
              <w:t>周六</w:t>
            </w:r>
          </w:p>
        </w:tc>
        <w:tc>
          <w:tcPr>
            <w:tcW w:w="6095" w:type="dxa"/>
            <w:vAlign w:val="center"/>
          </w:tcPr>
          <w:p w14:paraId="591C5E96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启程飞往瑞士日内瓦</w:t>
            </w:r>
          </w:p>
          <w:p w14:paraId="01CC1D51"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当地抵达，入住酒店</w:t>
            </w:r>
          </w:p>
        </w:tc>
      </w:tr>
      <w:tr w14:paraId="69448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 w14:paraId="1247F3F3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2026.2.1</w:t>
            </w:r>
          </w:p>
          <w:p w14:paraId="29436D8C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周日</w:t>
            </w:r>
          </w:p>
        </w:tc>
        <w:tc>
          <w:tcPr>
            <w:tcW w:w="6095" w:type="dxa"/>
            <w:vAlign w:val="center"/>
          </w:tcPr>
          <w:p w14:paraId="29E0420E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探访日内瓦老城区，日内瓦湖，花钟，圣彼埃尔大教堂，堡垒公园&amp;宗教改革墙，日内瓦大学等</w:t>
            </w:r>
          </w:p>
        </w:tc>
      </w:tr>
      <w:tr w14:paraId="057CD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restart"/>
            <w:vAlign w:val="center"/>
          </w:tcPr>
          <w:p w14:paraId="7244EA6D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2026.2.2</w:t>
            </w:r>
          </w:p>
          <w:p w14:paraId="19EC53F0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周一</w:t>
            </w:r>
          </w:p>
        </w:tc>
        <w:tc>
          <w:tcPr>
            <w:tcW w:w="6095" w:type="dxa"/>
            <w:vAlign w:val="center"/>
          </w:tcPr>
          <w:p w14:paraId="1469CAD2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上午：项目启动，欢迎仪式</w:t>
            </w:r>
          </w:p>
          <w:p w14:paraId="5BAFB590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专家讲座：联合国训练研究所主任</w:t>
            </w:r>
          </w:p>
          <w:p w14:paraId="6117D9F8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午餐地点：世界气象组织驻地</w:t>
            </w:r>
          </w:p>
        </w:tc>
      </w:tr>
      <w:tr w14:paraId="1D715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continue"/>
            <w:vAlign w:val="center"/>
          </w:tcPr>
          <w:p w14:paraId="2A371536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6095" w:type="dxa"/>
            <w:vAlign w:val="center"/>
          </w:tcPr>
          <w:p w14:paraId="0C3E5F6F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下午：联合国职业与领导力技能工作坊</w:t>
            </w:r>
          </w:p>
        </w:tc>
      </w:tr>
      <w:tr w14:paraId="2F867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restart"/>
            <w:vAlign w:val="center"/>
          </w:tcPr>
          <w:p w14:paraId="4E31554F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2026.2.3</w:t>
            </w:r>
          </w:p>
          <w:p w14:paraId="08D8CCF6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周二</w:t>
            </w:r>
          </w:p>
        </w:tc>
        <w:tc>
          <w:tcPr>
            <w:tcW w:w="6095" w:type="dxa"/>
            <w:vAlign w:val="center"/>
          </w:tcPr>
          <w:p w14:paraId="63AF5A0C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上午：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联合国万国宫介绍与参访</w:t>
            </w:r>
          </w:p>
          <w:p w14:paraId="1BAD7C80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午餐地点：联合国万国宫</w:t>
            </w:r>
          </w:p>
        </w:tc>
      </w:tr>
      <w:tr w14:paraId="1587C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continue"/>
            <w:vAlign w:val="center"/>
          </w:tcPr>
          <w:p w14:paraId="626864F4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6095" w:type="dxa"/>
            <w:vAlign w:val="center"/>
          </w:tcPr>
          <w:p w14:paraId="49215566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下午：联合国可持续发展目标工作坊</w:t>
            </w:r>
          </w:p>
        </w:tc>
      </w:tr>
      <w:tr w14:paraId="250A4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restart"/>
            <w:vAlign w:val="center"/>
          </w:tcPr>
          <w:p w14:paraId="66D38FE1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2026.2.4</w:t>
            </w:r>
          </w:p>
          <w:p w14:paraId="42FEC3B2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周三</w:t>
            </w:r>
          </w:p>
        </w:tc>
        <w:tc>
          <w:tcPr>
            <w:tcW w:w="6095" w:type="dxa"/>
            <w:vAlign w:val="center"/>
          </w:tcPr>
          <w:p w14:paraId="6FFEE803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上午：专家讲座</w:t>
            </w:r>
          </w:p>
          <w:p w14:paraId="2993912D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1）世界知识产权组织</w:t>
            </w:r>
          </w:p>
          <w:p w14:paraId="495F7820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）世界贸易组织</w:t>
            </w:r>
          </w:p>
          <w:p w14:paraId="5444B3FF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午餐地点：世界气象组织驻地</w:t>
            </w:r>
          </w:p>
        </w:tc>
      </w:tr>
      <w:tr w14:paraId="203D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continue"/>
            <w:vAlign w:val="center"/>
          </w:tcPr>
          <w:p w14:paraId="2D97E1A9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6095" w:type="dxa"/>
            <w:vAlign w:val="center"/>
          </w:tcPr>
          <w:p w14:paraId="33694C76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下午：谈判技能与技巧工作坊</w:t>
            </w:r>
          </w:p>
        </w:tc>
      </w:tr>
      <w:tr w14:paraId="2043F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restart"/>
            <w:vAlign w:val="center"/>
          </w:tcPr>
          <w:p w14:paraId="305EF4BB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2026.2.5</w:t>
            </w:r>
          </w:p>
          <w:p w14:paraId="7F1770A4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周四</w:t>
            </w:r>
          </w:p>
        </w:tc>
        <w:tc>
          <w:tcPr>
            <w:tcW w:w="6095" w:type="dxa"/>
            <w:vAlign w:val="center"/>
          </w:tcPr>
          <w:p w14:paraId="1440519F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上午：公众演讲技巧工作坊</w:t>
            </w:r>
          </w:p>
          <w:p w14:paraId="10ADE6F1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午餐地点：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联合国万国宫</w:t>
            </w:r>
          </w:p>
        </w:tc>
      </w:tr>
      <w:tr w14:paraId="4AE6A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continue"/>
            <w:vAlign w:val="center"/>
          </w:tcPr>
          <w:p w14:paraId="6E9BAAC2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6095" w:type="dxa"/>
            <w:vAlign w:val="center"/>
          </w:tcPr>
          <w:p w14:paraId="7DC4B554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下午：</w:t>
            </w:r>
          </w:p>
          <w:p w14:paraId="67FD2DBA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1）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威尔逊宫介绍与参访</w:t>
            </w:r>
          </w:p>
          <w:p w14:paraId="4AB6E609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2）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参观国际红十字会博物馆</w:t>
            </w:r>
          </w:p>
          <w:p w14:paraId="1DC99814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晚间：文化体验活动</w:t>
            </w:r>
          </w:p>
        </w:tc>
      </w:tr>
      <w:tr w14:paraId="71D5F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restar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CD5BF3E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2026.2.6</w:t>
            </w:r>
          </w:p>
          <w:p w14:paraId="5EB3679E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周五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38348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上午：</w:t>
            </w:r>
          </w:p>
          <w:p w14:paraId="4F15668F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1）模拟联合国会议；</w:t>
            </w:r>
          </w:p>
          <w:p w14:paraId="4EC44C69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2）专家讲座：联合国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难民事务高级专员办事处</w:t>
            </w:r>
          </w:p>
          <w:p w14:paraId="7DBD391C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午餐地点：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1"/>
                <w:sz w:val="24"/>
                <w:szCs w:val="24"/>
              </w:rPr>
              <w:t>联合国万国宫</w:t>
            </w:r>
          </w:p>
        </w:tc>
      </w:tr>
      <w:tr w14:paraId="7ED0C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D1849"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438A3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下午：</w:t>
            </w:r>
          </w:p>
          <w:p w14:paraId="0F19B33B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1）联合国职业发展工作坊；</w:t>
            </w:r>
          </w:p>
          <w:p w14:paraId="4094662E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2）项目汇报、反思与总结、结项仪式</w:t>
            </w:r>
          </w:p>
        </w:tc>
      </w:tr>
      <w:tr w14:paraId="49228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1850C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2026.2.7</w:t>
            </w:r>
          </w:p>
          <w:p w14:paraId="29195ED5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周六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F4970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日内瓦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安纳西（法国）--日内瓦</w:t>
            </w:r>
          </w:p>
          <w:p w14:paraId="6642324E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上午参访：欧洲核子研究中心CERN</w:t>
            </w:r>
          </w:p>
          <w:p w14:paraId="42D4C93E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下午游览欧洲十大最美小镇之一 安纳西(Annecy)</w:t>
            </w:r>
          </w:p>
        </w:tc>
      </w:tr>
      <w:tr w14:paraId="44F8B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single" w:color="auto" w:sz="4" w:space="0"/>
            </w:tcBorders>
            <w:vAlign w:val="center"/>
          </w:tcPr>
          <w:p w14:paraId="4A3C2B50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2026.2.8</w:t>
            </w:r>
          </w:p>
          <w:p w14:paraId="170088B2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周日</w:t>
            </w:r>
          </w:p>
        </w:tc>
        <w:tc>
          <w:tcPr>
            <w:tcW w:w="6095" w:type="dxa"/>
            <w:tcBorders>
              <w:top w:val="single" w:color="auto" w:sz="4" w:space="0"/>
            </w:tcBorders>
            <w:vAlign w:val="center"/>
          </w:tcPr>
          <w:p w14:paraId="51941FD6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日内瓦--洛桑--蒙特勒--日内瓦</w:t>
            </w:r>
          </w:p>
          <w:p w14:paraId="5410D765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上午乘车前往“奥林匹克之都”－洛桑。入内参观奥林匹克博物馆</w:t>
            </w:r>
          </w:p>
          <w:p w14:paraId="0063E146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下午，参观位于蒙特勒的著名的西庸城堡</w:t>
            </w:r>
          </w:p>
        </w:tc>
      </w:tr>
      <w:tr w14:paraId="262D5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 w14:paraId="71A22755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2026.2.9</w:t>
            </w:r>
          </w:p>
          <w:p w14:paraId="005EAC2A">
            <w:pPr>
              <w:widowControl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周一</w:t>
            </w:r>
          </w:p>
        </w:tc>
        <w:tc>
          <w:tcPr>
            <w:tcW w:w="6095" w:type="dxa"/>
            <w:vAlign w:val="center"/>
          </w:tcPr>
          <w:p w14:paraId="5C752918">
            <w:pPr>
              <w:widowControl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返回中国</w:t>
            </w:r>
          </w:p>
        </w:tc>
      </w:tr>
    </w:tbl>
    <w:p w14:paraId="6456E13D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Cs w:val="21"/>
        </w:rPr>
      </w:pPr>
    </w:p>
    <w:p w14:paraId="3CC1B986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【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  <w:t>师资介绍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】（仅供参考，以实际安排为准）</w:t>
      </w:r>
    </w:p>
    <w:p w14:paraId="73DCDA33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</w:rPr>
        <w:t>Jérôme L’host，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联合国认证谈判技巧与领导技巧资深训练师、驻日内瓦与莫斯科高级顾问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</w:p>
    <w:p w14:paraId="768A73FC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</w:rPr>
        <w:t>Rabih El-Haddad，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联合国训练研究所多边外交处处长，主管有关联合国系统与日内瓦多边工作环境的训练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</w:p>
    <w:p w14:paraId="13539F28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</w:rPr>
        <w:t>Marie-José Astre-Démoulin，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任职于联合国驻日内瓦办事处员工发展与学习部门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担任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人力资源与经理级职员首席训练师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</w:p>
    <w:p w14:paraId="6B6BB97E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</w:rPr>
        <w:t>Claire Doole，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联合国公众演讲技巧与媒体关系训练专家，前BBC驻伦敦、布鲁塞尔和日内瓦记者；前联合国、国际红十字会和世界自然基金会发言人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</w:p>
    <w:p w14:paraId="229FF6B3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</w:rPr>
        <w:t>Lars Tillfors，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瑞典退休外交官，长期从事多边和双边外交与谈判工作，曾在纽约、日内瓦、华盛顿等地任职外交官或国际公务员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</w:p>
    <w:p w14:paraId="0F1214B5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</w:rPr>
        <w:t>Alice Richard，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联合国可持续发展目标训练师，曾任职联合国儿童基金会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</w:p>
    <w:p w14:paraId="026C1E48">
      <w:pPr>
        <w:spacing w:line="360" w:lineRule="auto"/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</w:rPr>
        <w:t>Julian Caletti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联合国项目专家，主管国际组织人才培养、青训项目等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</w:p>
    <w:p w14:paraId="3F1F5945">
      <w:pPr>
        <w:spacing w:line="360" w:lineRule="auto"/>
        <w:rPr>
          <w:rFonts w:hint="eastAsia" w:ascii="方正仿宋_GB2312" w:hAnsi="方正仿宋_GB2312" w:eastAsia="方正仿宋_GB2312" w:cs="方正仿宋_GB2312"/>
          <w:b/>
          <w:bCs/>
          <w:color w:val="auto"/>
          <w:sz w:val="30"/>
          <w:szCs w:val="30"/>
        </w:rPr>
      </w:pPr>
    </w:p>
    <w:p w14:paraId="54098889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【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  <w:t>项目收获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】</w:t>
      </w:r>
    </w:p>
    <w:p w14:paraId="7685A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0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Cs w:val="21"/>
          <w:woUserID w:val="1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学生顺利完成训练课程后，可获得联合国训练研究所颁发的官方项目证书。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  <w:woUserID w:val="1"/>
        </w:rPr>
        <w:t>如果学生小组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woUserID w:val="1"/>
        </w:rPr>
        <w:t>在结业比赛中取得“最佳小组”认证，全组成员还将获得由联合国主办方部门为成员提供的推荐信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  <w:woUserID w:val="1"/>
        </w:rPr>
        <w:t>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woUserID w:val="1"/>
        </w:rPr>
        <w:t>小组如有表现突出者，还有机会成为最佳学员拿到推荐信。</w:t>
      </w:r>
    </w:p>
    <w:p w14:paraId="778F9F83">
      <w:pPr>
        <w:widowControl/>
        <w:spacing w:line="360" w:lineRule="auto"/>
        <w:ind w:firstLine="420" w:firstLineChars="200"/>
        <w:jc w:val="left"/>
        <w:rPr>
          <w:rFonts w:hint="eastAsia" w:ascii="方正仿宋_GB2312" w:hAnsi="方正仿宋_GB2312" w:eastAsia="方正仿宋_GB2312" w:cs="方正仿宋_GB2312"/>
          <w:color w:val="auto"/>
          <w:szCs w:val="21"/>
        </w:rPr>
      </w:pPr>
      <w:r>
        <w:rPr>
          <w:rFonts w:hint="eastAsia" w:ascii="方正仿宋_GB2312" w:hAnsi="方正仿宋_GB2312" w:eastAsia="方正仿宋_GB2312" w:cs="方正仿宋_GB2312"/>
          <w:color w:val="aut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1041400</wp:posOffset>
            </wp:positionH>
            <wp:positionV relativeFrom="paragraph">
              <wp:posOffset>80645</wp:posOffset>
            </wp:positionV>
            <wp:extent cx="2948940" cy="2057400"/>
            <wp:effectExtent l="0" t="0" r="3810" b="0"/>
            <wp:wrapSquare wrapText="bothSides"/>
            <wp:docPr id="9037850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78500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4894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DBCA72">
      <w:pPr>
        <w:widowControl/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auto"/>
          <w:szCs w:val="21"/>
        </w:rPr>
      </w:pPr>
    </w:p>
    <w:p w14:paraId="675DB885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22"/>
          <w:szCs w:val="22"/>
        </w:rPr>
      </w:pPr>
    </w:p>
    <w:p w14:paraId="4F8FCC6B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22"/>
          <w:szCs w:val="22"/>
        </w:rPr>
      </w:pPr>
    </w:p>
    <w:p w14:paraId="20F8ADB2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22"/>
          <w:szCs w:val="22"/>
        </w:rPr>
      </w:pPr>
    </w:p>
    <w:p w14:paraId="44CCEF20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22"/>
          <w:szCs w:val="22"/>
        </w:rPr>
      </w:pPr>
    </w:p>
    <w:p w14:paraId="59FF3FFC">
      <w:pPr>
        <w:widowControl/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auto"/>
          <w:szCs w:val="21"/>
        </w:rPr>
      </w:pPr>
    </w:p>
    <w:p w14:paraId="73FBA1B3">
      <w:pPr>
        <w:widowControl/>
        <w:spacing w:line="360" w:lineRule="auto"/>
        <w:jc w:val="center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项目证书样本</w:t>
      </w:r>
    </w:p>
    <w:p w14:paraId="4B54A36F">
      <w:pPr>
        <w:widowControl/>
        <w:spacing w:line="360" w:lineRule="auto"/>
        <w:jc w:val="center"/>
        <w:rPr>
          <w:rFonts w:hint="eastAsia" w:ascii="方正仿宋_GB2312" w:hAnsi="方正仿宋_GB2312" w:eastAsia="方正仿宋_GB2312" w:cs="方正仿宋_GB2312"/>
          <w:color w:val="auto"/>
          <w:szCs w:val="21"/>
        </w:rPr>
      </w:pPr>
      <w:r>
        <w:rPr>
          <w:rFonts w:hint="eastAsia" w:ascii="方正仿宋_GB2312" w:hAnsi="方正仿宋_GB2312" w:eastAsia="方正仿宋_GB2312" w:cs="方正仿宋_GB2312"/>
          <w:color w:val="auto"/>
        </w:rPr>
        <w:drawing>
          <wp:inline distT="0" distB="0" distL="0" distR="0">
            <wp:extent cx="2059940" cy="2590800"/>
            <wp:effectExtent l="0" t="0" r="16510" b="0"/>
            <wp:docPr id="17528643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864327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62605" cy="259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22CF1">
      <w:pPr>
        <w:widowControl/>
        <w:spacing w:line="360" w:lineRule="auto"/>
        <w:jc w:val="center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推荐信样本</w:t>
      </w:r>
    </w:p>
    <w:p w14:paraId="5B97DD52">
      <w:pPr>
        <w:widowControl/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auto"/>
          <w:szCs w:val="21"/>
        </w:rPr>
      </w:pPr>
    </w:p>
    <w:p w14:paraId="20061EE3">
      <w:pPr>
        <w:widowControl/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【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0"/>
          <w:sz w:val="30"/>
          <w:szCs w:val="30"/>
        </w:rPr>
        <w:t>项目费用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】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71"/>
      </w:tblGrid>
      <w:tr w14:paraId="37A4B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951" w:type="dxa"/>
          </w:tcPr>
          <w:p w14:paraId="619DAC48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项目总费用</w:t>
            </w:r>
          </w:p>
        </w:tc>
        <w:tc>
          <w:tcPr>
            <w:tcW w:w="6571" w:type="dxa"/>
          </w:tcPr>
          <w:p w14:paraId="7946D8CC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人民币3.25万元</w:t>
            </w:r>
          </w:p>
        </w:tc>
      </w:tr>
      <w:tr w14:paraId="34EA5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697F6DDA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费用包括：</w:t>
            </w:r>
          </w:p>
        </w:tc>
        <w:tc>
          <w:tcPr>
            <w:tcW w:w="6571" w:type="dxa"/>
          </w:tcPr>
          <w:p w14:paraId="154AC591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学费、欢迎午宴、文化体验活动、医疗与意外保险、酒店住宿、早餐、项目期间交通费用、签证费与签证服务费（单次）、接送机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eastAsia="zh-CN"/>
              </w:rPr>
              <w:t>，以及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项目服务费</w:t>
            </w:r>
          </w:p>
        </w:tc>
      </w:tr>
      <w:tr w14:paraId="23DAA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30F398DF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费用不包括：</w:t>
            </w:r>
          </w:p>
        </w:tc>
        <w:tc>
          <w:tcPr>
            <w:tcW w:w="6571" w:type="dxa"/>
          </w:tcPr>
          <w:p w14:paraId="6547F9D9"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国际机票、餐费与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个人消费</w:t>
            </w:r>
          </w:p>
        </w:tc>
      </w:tr>
    </w:tbl>
    <w:p w14:paraId="0880512E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</w:p>
    <w:p w14:paraId="713EF7DA">
      <w:pPr>
        <w:spacing w:line="360" w:lineRule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179E512-C14B-4B3B-85D0-1F6B8D13C4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10A09"/>
    <w:rsid w:val="163C5EE9"/>
    <w:rsid w:val="16CC586A"/>
    <w:rsid w:val="36956226"/>
    <w:rsid w:val="43B57B21"/>
    <w:rsid w:val="4D5756EE"/>
    <w:rsid w:val="573E5FAE"/>
    <w:rsid w:val="71147D7B"/>
    <w:rsid w:val="7D20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qFormat/>
    <w:uiPriority w:val="0"/>
    <w:rPr>
      <w:color w:val="0068B7"/>
      <w:u w:val="none"/>
    </w:r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2225</Words>
  <Characters>2530</Characters>
  <Lines>0</Lines>
  <Paragraphs>0</Paragraphs>
  <TotalTime>14</TotalTime>
  <ScaleCrop>false</ScaleCrop>
  <LinksUpToDate>false</LinksUpToDate>
  <CharactersWithSpaces>2552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2025-10-17T02:40:00Z</dcterms:created>
  <dc:creator>Administrator</dc:creator>
  <cp:lastModifiedBy>一直一直</cp:lastModifiedBy>
  <dcterms:modified xsi:type="dcterms:W3CDTF">2025-11-04T09:04:45Z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eyJoZGlkIjoiMzc4N2RiOTNiZGFjMDFlNTE1OGRlNThkNDAwODA4OWEiLCJ1c2VySWQiOiI5MTQ2NDY4MDkifQ==</vt:lpwstr>
  </property>
  <property fmtid="{D5CDD505-2E9C-101B-9397-08002B2CF9AE}" pid="4" name="ICV">
    <vt:lpwstr>D829B33DA0A344E8B2465E1399462FC4_13</vt:lpwstr>
  </property>
</Properties>
</file>