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CDD76">
      <w:pPr>
        <w:spacing w:before="38" w:line="220" w:lineRule="auto"/>
        <w:ind w:left="79"/>
        <w:rPr>
          <w:rFonts w:hint="eastAsia" w:ascii="Times New Roman" w:hAnsi="Times New Roman" w:eastAsia="宋体" w:cs="Times New Roman"/>
          <w:sz w:val="19"/>
          <w:szCs w:val="19"/>
          <w:lang w:val="en-US" w:eastAsia="zh-CN"/>
        </w:rPr>
      </w:pPr>
      <w:r>
        <w:rPr>
          <w:rFonts w:ascii="宋体" w:hAnsi="宋体" w:eastAsia="宋体" w:cs="宋体"/>
          <w:spacing w:val="-8"/>
          <w:sz w:val="19"/>
          <w:szCs w:val="19"/>
        </w:rPr>
        <w:t>附</w:t>
      </w:r>
      <w:r>
        <w:rPr>
          <w:rFonts w:ascii="宋体" w:hAnsi="宋体" w:eastAsia="宋体" w:cs="宋体"/>
          <w:spacing w:val="-6"/>
          <w:sz w:val="19"/>
          <w:szCs w:val="19"/>
        </w:rPr>
        <w:t>件</w:t>
      </w:r>
      <w:r>
        <w:rPr>
          <w:rFonts w:hint="eastAsia" w:ascii="宋体" w:hAnsi="宋体" w:eastAsia="宋体" w:cs="宋体"/>
          <w:spacing w:val="-6"/>
          <w:sz w:val="19"/>
          <w:szCs w:val="19"/>
          <w:lang w:val="en-US" w:eastAsia="zh-CN"/>
        </w:rPr>
        <w:t>2</w:t>
      </w:r>
    </w:p>
    <w:p w14:paraId="2649C1BD">
      <w:pPr>
        <w:spacing w:before="135" w:line="223" w:lineRule="auto"/>
        <w:ind w:left="1535"/>
        <w:rPr>
          <w:rFonts w:hint="eastAsia" w:ascii="宋体" w:hAnsi="宋体" w:eastAsia="宋体" w:cs="宋体"/>
          <w:sz w:val="34"/>
          <w:szCs w:val="34"/>
        </w:rPr>
      </w:pPr>
      <w:r>
        <w:rPr>
          <w:rFonts w:hint="eastAsia" w:ascii="宋体" w:hAnsi="宋体" w:eastAsia="宋体" w:cs="宋体"/>
          <w:spacing w:val="11"/>
          <w:sz w:val="34"/>
          <w:szCs w:val="34"/>
          <w14:textOutline w14:w="631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广西师范</w:t>
      </w:r>
      <w:r>
        <w:rPr>
          <w:rFonts w:ascii="宋体" w:hAnsi="宋体" w:eastAsia="宋体" w:cs="宋体"/>
          <w:spacing w:val="11"/>
          <w:sz w:val="34"/>
          <w:szCs w:val="34"/>
          <w14:textOutline w14:w="631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大学成人可预防传染病相关疫苗信息</w:t>
      </w:r>
    </w:p>
    <w:p w14:paraId="798B83B7">
      <w:pPr>
        <w:spacing w:line="44" w:lineRule="exact"/>
      </w:pPr>
    </w:p>
    <w:tbl>
      <w:tblPr>
        <w:tblStyle w:val="5"/>
        <w:tblW w:w="10691" w:type="dxa"/>
        <w:tblInd w:w="-6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5"/>
        <w:gridCol w:w="3130"/>
        <w:gridCol w:w="2170"/>
        <w:gridCol w:w="1320"/>
        <w:gridCol w:w="1845"/>
        <w:gridCol w:w="941"/>
      </w:tblGrid>
      <w:tr w14:paraId="01A626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85" w:type="dxa"/>
            <w:shd w:val="clear" w:color="auto" w:fill="BDD7EE"/>
          </w:tcPr>
          <w:p w14:paraId="31C7452B">
            <w:pPr>
              <w:spacing w:before="106" w:line="222" w:lineRule="auto"/>
              <w:ind w:left="38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en-US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  <w:lang w:eastAsia="en-US"/>
              </w:rPr>
              <w:t>疫苗名称</w:t>
            </w:r>
          </w:p>
        </w:tc>
        <w:tc>
          <w:tcPr>
            <w:tcW w:w="3130" w:type="dxa"/>
            <w:shd w:val="clear" w:color="auto" w:fill="BDD7EE"/>
          </w:tcPr>
          <w:p w14:paraId="717A635A">
            <w:pPr>
              <w:spacing w:before="107" w:line="220" w:lineRule="auto"/>
              <w:ind w:left="1709"/>
              <w:jc w:val="both"/>
              <w:rPr>
                <w:rFonts w:hint="eastAsia" w:ascii="宋体" w:hAnsi="宋体" w:eastAsia="宋体" w:cs="宋体"/>
                <w:sz w:val="19"/>
                <w:szCs w:val="19"/>
                <w:lang w:eastAsia="en-US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  <w:lang w:eastAsia="en-US"/>
              </w:rPr>
              <w:t>疾病简介</w:t>
            </w:r>
          </w:p>
        </w:tc>
        <w:tc>
          <w:tcPr>
            <w:tcW w:w="2170" w:type="dxa"/>
            <w:shd w:val="clear" w:color="auto" w:fill="BDD7EE"/>
          </w:tcPr>
          <w:p w14:paraId="0FFB1E7B">
            <w:pPr>
              <w:spacing w:before="106" w:line="222" w:lineRule="auto"/>
              <w:ind w:left="705"/>
              <w:jc w:val="both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  <w:lang w:eastAsia="en-US"/>
              </w:rPr>
              <w:t>作用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  <w:lang w:val="en-US" w:eastAsia="zh-CN"/>
              </w:rPr>
              <w:t>与用途</w:t>
            </w:r>
          </w:p>
        </w:tc>
        <w:tc>
          <w:tcPr>
            <w:tcW w:w="1320" w:type="dxa"/>
            <w:shd w:val="clear" w:color="auto" w:fill="BDD7EE"/>
          </w:tcPr>
          <w:p w14:paraId="032A366F">
            <w:pPr>
              <w:spacing w:before="106" w:line="221" w:lineRule="auto"/>
              <w:ind w:left="172"/>
              <w:jc w:val="both"/>
              <w:rPr>
                <w:rFonts w:hint="eastAsia" w:ascii="宋体" w:hAnsi="宋体" w:eastAsia="宋体" w:cs="宋体"/>
                <w:sz w:val="19"/>
                <w:szCs w:val="19"/>
                <w:lang w:eastAsia="en-US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  <w:lang w:eastAsia="en-US"/>
              </w:rPr>
              <w:t>接种年龄</w:t>
            </w:r>
          </w:p>
        </w:tc>
        <w:tc>
          <w:tcPr>
            <w:tcW w:w="1845" w:type="dxa"/>
            <w:shd w:val="clear" w:color="auto" w:fill="BDD7EE"/>
          </w:tcPr>
          <w:p w14:paraId="24A42853">
            <w:pPr>
              <w:spacing w:before="106" w:line="222" w:lineRule="auto"/>
              <w:ind w:left="286"/>
              <w:jc w:val="both"/>
              <w:rPr>
                <w:rFonts w:hint="eastAsia" w:ascii="宋体" w:hAnsi="宋体" w:eastAsia="宋体" w:cs="宋体"/>
                <w:sz w:val="19"/>
                <w:szCs w:val="19"/>
                <w:lang w:eastAsia="en-US"/>
              </w:rPr>
            </w:pPr>
            <w:r>
              <w:rPr>
                <w:rFonts w:ascii="宋体" w:hAnsi="宋体" w:eastAsia="宋体" w:cs="宋体"/>
                <w:spacing w:val="-1"/>
                <w:sz w:val="19"/>
                <w:szCs w:val="19"/>
                <w:lang w:eastAsia="en-US"/>
              </w:rPr>
              <w:t>接种程序</w:t>
            </w:r>
          </w:p>
        </w:tc>
        <w:tc>
          <w:tcPr>
            <w:tcW w:w="941" w:type="dxa"/>
            <w:shd w:val="clear" w:color="auto" w:fill="BDD7EE"/>
          </w:tcPr>
          <w:p w14:paraId="206AF8E4">
            <w:pPr>
              <w:spacing w:before="106" w:line="220" w:lineRule="auto"/>
              <w:ind w:left="359"/>
              <w:jc w:val="both"/>
              <w:rPr>
                <w:rFonts w:hint="eastAsia" w:ascii="宋体" w:hAnsi="宋体" w:eastAsia="宋体" w:cs="宋体"/>
                <w:sz w:val="19"/>
                <w:szCs w:val="19"/>
                <w:lang w:eastAsia="en-US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  <w:lang w:eastAsia="en-US"/>
              </w:rPr>
              <w:t>价格</w:t>
            </w:r>
          </w:p>
        </w:tc>
      </w:tr>
      <w:tr w14:paraId="4661C1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285" w:type="dxa"/>
            <w:tcBorders>
              <w:bottom w:val="nil"/>
            </w:tcBorders>
            <w:vAlign w:val="center"/>
          </w:tcPr>
          <w:p w14:paraId="4D494ADF">
            <w:pPr>
              <w:spacing w:before="56" w:line="218" w:lineRule="auto"/>
              <w:jc w:val="center"/>
              <w:rPr>
                <w:rFonts w:hint="eastAsia" w:ascii="宋体" w:hAnsi="宋体" w:eastAsia="宋体" w:cs="宋体"/>
                <w:spacing w:val="-7"/>
                <w:sz w:val="18"/>
                <w:szCs w:val="18"/>
                <w:lang w:eastAsia="en-US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  <w:lang w:eastAsia="en-US"/>
              </w:rPr>
              <w:t>四价流感疫苗</w:t>
            </w:r>
          </w:p>
        </w:tc>
        <w:tc>
          <w:tcPr>
            <w:tcW w:w="3130" w:type="dxa"/>
            <w:vMerge w:val="restart"/>
            <w:vAlign w:val="center"/>
          </w:tcPr>
          <w:p w14:paraId="30F2E55F">
            <w:pPr>
              <w:spacing w:before="230" w:line="206" w:lineRule="auto"/>
              <w:ind w:right="73"/>
              <w:jc w:val="both"/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流行性感冒是由流感病毒引起的一种急性呼吸道传染</w:t>
            </w: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病，</w:t>
            </w:r>
            <w:r>
              <w:rPr>
                <w:rFonts w:ascii="宋体" w:hAnsi="宋体" w:eastAsia="宋体" w:cs="宋体"/>
                <w:spacing w:val="-2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严重危害人类健康。主要症状表现为突起高热、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咽痛、咳嗽、头痛、肌痛及全身不适等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。</w:t>
            </w:r>
          </w:p>
        </w:tc>
        <w:tc>
          <w:tcPr>
            <w:tcW w:w="2170" w:type="dxa"/>
            <w:vMerge w:val="restart"/>
            <w:vAlign w:val="center"/>
          </w:tcPr>
          <w:p w14:paraId="47E8BEFC">
            <w:pPr>
              <w:spacing w:before="55" w:line="210" w:lineRule="auto"/>
              <w:ind w:right="135"/>
              <w:jc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预防疫苗相关型别的流感病毒引起的流行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性感冒。</w:t>
            </w:r>
          </w:p>
        </w:tc>
        <w:tc>
          <w:tcPr>
            <w:tcW w:w="1320" w:type="dxa"/>
            <w:vMerge w:val="restart"/>
            <w:vAlign w:val="center"/>
          </w:tcPr>
          <w:p w14:paraId="273342A7">
            <w:pPr>
              <w:spacing w:before="55" w:line="210" w:lineRule="auto"/>
              <w:ind w:right="84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本品用于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</w:t>
            </w:r>
            <w:r>
              <w:rPr>
                <w:rFonts w:ascii="宋体" w:hAnsi="宋体" w:eastAsia="宋体" w:cs="宋体"/>
                <w:sz w:val="18"/>
                <w:szCs w:val="18"/>
              </w:rPr>
              <w:t>岁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及以上人群</w:t>
            </w:r>
          </w:p>
        </w:tc>
        <w:tc>
          <w:tcPr>
            <w:tcW w:w="1845" w:type="dxa"/>
            <w:vMerge w:val="restart"/>
            <w:vAlign w:val="center"/>
          </w:tcPr>
          <w:p w14:paraId="6D0299E9">
            <w:pPr>
              <w:spacing w:before="55" w:line="233" w:lineRule="auto"/>
              <w:jc w:val="center"/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en-US"/>
              </w:rPr>
            </w:pPr>
            <w:r>
              <w:rPr>
                <w:rFonts w:ascii="宋体" w:hAnsi="宋体" w:eastAsia="宋体" w:cs="宋体"/>
                <w:sz w:val="18"/>
                <w:szCs w:val="18"/>
                <w:lang w:eastAsia="en-US"/>
              </w:rPr>
              <w:t>每年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  <w:lang w:eastAsia="en-US"/>
              </w:rPr>
              <w:t>剂</w:t>
            </w:r>
          </w:p>
        </w:tc>
        <w:tc>
          <w:tcPr>
            <w:tcW w:w="941" w:type="dxa"/>
            <w:tcBorders>
              <w:bottom w:val="nil"/>
            </w:tcBorders>
            <w:vAlign w:val="center"/>
          </w:tcPr>
          <w:p w14:paraId="308AFA71">
            <w:pPr>
              <w:spacing w:before="55" w:line="233" w:lineRule="auto"/>
              <w:jc w:val="center"/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  <w:lang w:eastAsia="en-US"/>
              </w:rPr>
              <w:t>120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  <w:lang w:eastAsia="en-US"/>
              </w:rPr>
              <w:t>元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  <w:lang w:eastAsia="en-US"/>
              </w:rPr>
              <w:t>/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  <w:lang w:eastAsia="en-US"/>
              </w:rPr>
              <w:t>剂</w:t>
            </w:r>
          </w:p>
        </w:tc>
      </w:tr>
      <w:tr w14:paraId="0326AF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285" w:type="dxa"/>
            <w:tcBorders>
              <w:bottom w:val="nil"/>
            </w:tcBorders>
            <w:vAlign w:val="center"/>
          </w:tcPr>
          <w:p w14:paraId="204636FC">
            <w:pPr>
              <w:spacing w:before="56" w:line="216" w:lineRule="auto"/>
              <w:jc w:val="center"/>
              <w:rPr>
                <w:rFonts w:hint="default" w:ascii="宋体" w:hAnsi="宋体" w:eastAsia="宋体" w:cs="宋体"/>
                <w:spacing w:val="1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  <w:lang w:val="en-US" w:eastAsia="zh-CN"/>
              </w:rPr>
              <w:t>Sanofi四价流感疫苗</w:t>
            </w:r>
          </w:p>
        </w:tc>
        <w:tc>
          <w:tcPr>
            <w:tcW w:w="3130" w:type="dxa"/>
            <w:vMerge w:val="continue"/>
            <w:tcBorders>
              <w:bottom w:val="nil"/>
            </w:tcBorders>
            <w:vAlign w:val="center"/>
          </w:tcPr>
          <w:p w14:paraId="66C90146">
            <w:pPr>
              <w:spacing w:before="2" w:line="209" w:lineRule="auto"/>
              <w:ind w:left="227" w:right="142" w:hanging="58"/>
              <w:jc w:val="center"/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</w:pPr>
          </w:p>
        </w:tc>
        <w:tc>
          <w:tcPr>
            <w:tcW w:w="2170" w:type="dxa"/>
            <w:vMerge w:val="continue"/>
            <w:tcBorders>
              <w:bottom w:val="nil"/>
            </w:tcBorders>
            <w:vAlign w:val="center"/>
          </w:tcPr>
          <w:p w14:paraId="5290BB66">
            <w:pPr>
              <w:spacing w:before="51" w:line="234" w:lineRule="auto"/>
              <w:ind w:left="38"/>
              <w:jc w:val="center"/>
              <w:rPr>
                <w:sz w:val="18"/>
              </w:rPr>
            </w:pPr>
          </w:p>
        </w:tc>
        <w:tc>
          <w:tcPr>
            <w:tcW w:w="1320" w:type="dxa"/>
            <w:vMerge w:val="continue"/>
            <w:tcBorders>
              <w:bottom w:val="nil"/>
            </w:tcBorders>
            <w:vAlign w:val="center"/>
          </w:tcPr>
          <w:p w14:paraId="26298042">
            <w:pPr>
              <w:spacing w:before="36" w:line="209" w:lineRule="auto"/>
              <w:ind w:left="45" w:leftChars="0" w:right="211" w:rightChars="0" w:firstLine="7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845" w:type="dxa"/>
            <w:vMerge w:val="continue"/>
            <w:vAlign w:val="center"/>
          </w:tcPr>
          <w:p w14:paraId="32A1B68A">
            <w:pPr>
              <w:spacing w:before="36" w:line="209" w:lineRule="auto"/>
              <w:ind w:left="45" w:right="211" w:firstLine="7"/>
              <w:jc w:val="center"/>
              <w:rPr>
                <w:rFonts w:ascii="宋体" w:hAnsi="宋体" w:eastAsia="宋体" w:cs="宋体"/>
                <w:spacing w:val="-5"/>
                <w:sz w:val="18"/>
                <w:szCs w:val="18"/>
              </w:rPr>
            </w:pPr>
          </w:p>
        </w:tc>
        <w:tc>
          <w:tcPr>
            <w:tcW w:w="941" w:type="dxa"/>
            <w:tcBorders>
              <w:bottom w:val="nil"/>
            </w:tcBorders>
            <w:vAlign w:val="center"/>
          </w:tcPr>
          <w:p w14:paraId="71BFE935">
            <w:pPr>
              <w:spacing w:before="55" w:line="233" w:lineRule="auto"/>
              <w:jc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160元/剂</w:t>
            </w:r>
          </w:p>
        </w:tc>
      </w:tr>
      <w:tr w14:paraId="342634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285" w:type="dxa"/>
            <w:vMerge w:val="restart"/>
            <w:tcBorders>
              <w:bottom w:val="nil"/>
            </w:tcBorders>
            <w:vAlign w:val="center"/>
          </w:tcPr>
          <w:p w14:paraId="30808024">
            <w:pPr>
              <w:spacing w:line="475" w:lineRule="auto"/>
              <w:jc w:val="center"/>
              <w:rPr>
                <w:sz w:val="22"/>
                <w:szCs w:val="22"/>
              </w:rPr>
            </w:pPr>
          </w:p>
          <w:p w14:paraId="52002B96">
            <w:pPr>
              <w:spacing w:before="56" w:line="216" w:lineRule="auto"/>
              <w:ind w:left="314" w:leftChars="63" w:hanging="182" w:hangingChars="100"/>
              <w:jc w:val="center"/>
              <w:rPr>
                <w:rFonts w:ascii="宋体" w:hAnsi="宋体" w:eastAsia="宋体" w:cs="宋体"/>
                <w:spacing w:val="1"/>
                <w:sz w:val="18"/>
                <w:szCs w:val="18"/>
              </w:rPr>
            </w:pPr>
          </w:p>
          <w:p w14:paraId="49B5F6CD">
            <w:pPr>
              <w:spacing w:before="56" w:line="216" w:lineRule="auto"/>
              <w:ind w:left="314" w:leftChars="63" w:hanging="182" w:hangingChars="100"/>
              <w:jc w:val="center"/>
              <w:rPr>
                <w:rFonts w:ascii="宋体" w:hAnsi="宋体" w:eastAsia="宋体" w:cs="宋体"/>
                <w:spacing w:val="1"/>
                <w:sz w:val="18"/>
                <w:szCs w:val="18"/>
              </w:rPr>
            </w:pPr>
          </w:p>
          <w:p w14:paraId="575C19C0">
            <w:pPr>
              <w:spacing w:before="56" w:line="216" w:lineRule="auto"/>
              <w:ind w:left="314" w:leftChars="63" w:hanging="182" w:hangingChars="10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九价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HPV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疫苗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（进口）</w:t>
            </w:r>
          </w:p>
        </w:tc>
        <w:tc>
          <w:tcPr>
            <w:tcW w:w="3130" w:type="dxa"/>
            <w:vMerge w:val="restart"/>
            <w:tcBorders>
              <w:bottom w:val="nil"/>
            </w:tcBorders>
            <w:vAlign w:val="center"/>
          </w:tcPr>
          <w:p w14:paraId="1602B6B3">
            <w:pPr>
              <w:tabs>
                <w:tab w:val="left" w:pos="252"/>
              </w:tabs>
              <w:spacing w:before="55"/>
              <w:ind w:right="298" w:firstLine="368" w:firstLineChars="20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几乎所有的宫颈癌是由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HPV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病毒感染引起的，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8"/>
                <w:szCs w:val="18"/>
              </w:rPr>
              <w:t>99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ab/>
            </w:r>
            <w:r>
              <w:rPr>
                <w:rFonts w:ascii="Times New Roman" w:hAnsi="Times New Roman" w:eastAsia="Times New Roman" w:cs="Times New Roman"/>
                <w:spacing w:val="2"/>
                <w:sz w:val="18"/>
                <w:szCs w:val="18"/>
              </w:rPr>
              <w:t>.7%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的宫颈癌病例与高危型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HPV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病毒感</w:t>
            </w:r>
            <w:r>
              <w:rPr>
                <w:rFonts w:ascii="宋体" w:hAnsi="宋体" w:eastAsia="宋体" w:cs="宋体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染有关，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18"/>
                <w:szCs w:val="18"/>
              </w:rPr>
              <w:t>80%-90%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的女性一生中至少感染一次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HPV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病毒</w:t>
            </w:r>
            <w:r>
              <w:rPr>
                <w:rFonts w:ascii="宋体" w:hAnsi="宋体" w:eastAsia="宋体" w:cs="宋体"/>
                <w:spacing w:val="-3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。</w:t>
            </w:r>
          </w:p>
          <w:p w14:paraId="05EDC673">
            <w:pPr>
              <w:ind w:left="105" w:right="92" w:hanging="3"/>
              <w:jc w:val="center"/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</w:pPr>
          </w:p>
          <w:p w14:paraId="5162F3F9">
            <w:pPr>
              <w:ind w:right="9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HPV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根据致癌潜力，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分为高危型和低</w:t>
            </w:r>
            <w:r>
              <w:rPr>
                <w:rFonts w:ascii="宋体" w:hAnsi="宋体" w:eastAsia="宋体" w:cs="宋体"/>
                <w:spacing w:val="-2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危</w:t>
            </w:r>
            <w:r>
              <w:rPr>
                <w:rFonts w:ascii="宋体" w:hAnsi="宋体" w:eastAsia="宋体" w:cs="宋体"/>
                <w:spacing w:val="-2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型：低</w:t>
            </w:r>
            <w:r>
              <w:rPr>
                <w:rFonts w:ascii="宋体" w:hAnsi="宋体" w:eastAsia="宋体" w:cs="宋体"/>
                <w:spacing w:val="-2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危型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包</w:t>
            </w:r>
            <w:r>
              <w:rPr>
                <w:rFonts w:ascii="宋体" w:hAnsi="宋体" w:eastAsia="宋体" w:cs="宋体"/>
                <w:spacing w:val="-2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括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HPV6/</w:t>
            </w:r>
            <w:r>
              <w:rPr>
                <w:rFonts w:ascii="Times New Roman" w:hAnsi="Times New Roman" w:eastAsia="Times New Roman" w:cs="Times New Roman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等，</w:t>
            </w:r>
            <w:r>
              <w:rPr>
                <w:rFonts w:ascii="宋体" w:hAnsi="宋体" w:eastAsia="宋体" w:cs="宋体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主</w:t>
            </w:r>
            <w:r>
              <w:rPr>
                <w:rFonts w:ascii="宋体" w:hAnsi="宋体" w:eastAsia="宋体" w:cs="宋体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要引</w:t>
            </w:r>
            <w:r>
              <w:rPr>
                <w:rFonts w:ascii="宋体" w:hAnsi="宋体" w:eastAsia="宋体" w:cs="宋体"/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起</w:t>
            </w:r>
            <w:r>
              <w:rPr>
                <w:rFonts w:ascii="宋体" w:hAnsi="宋体" w:eastAsia="宋体" w:cs="宋体"/>
                <w:spacing w:val="-2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生殖</w:t>
            </w:r>
            <w:r>
              <w:rPr>
                <w:rFonts w:ascii="宋体" w:hAnsi="宋体" w:eastAsia="宋体" w:cs="宋体"/>
                <w:spacing w:val="-2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器疣和良</w:t>
            </w:r>
            <w:r>
              <w:rPr>
                <w:rFonts w:ascii="宋体" w:hAnsi="宋体" w:eastAsia="宋体" w:cs="宋体"/>
                <w:spacing w:val="-1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性</w:t>
            </w:r>
            <w:r>
              <w:rPr>
                <w:rFonts w:ascii="宋体" w:hAnsi="宋体" w:eastAsia="宋体" w:cs="宋体"/>
                <w:spacing w:val="-3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病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变； 高</w:t>
            </w:r>
            <w:r>
              <w:rPr>
                <w:rFonts w:ascii="宋体" w:hAnsi="宋体" w:eastAsia="宋体" w:cs="宋体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危</w:t>
            </w:r>
            <w:r>
              <w:rPr>
                <w:rFonts w:ascii="宋体" w:hAnsi="宋体" w:eastAsia="宋体" w:cs="宋体"/>
                <w:spacing w:val="-2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型</w:t>
            </w:r>
            <w:r>
              <w:rPr>
                <w:rFonts w:ascii="宋体" w:hAnsi="宋体" w:eastAsia="宋体" w:cs="宋体"/>
                <w:spacing w:val="-3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包</w:t>
            </w:r>
            <w:r>
              <w:rPr>
                <w:rFonts w:ascii="宋体" w:hAnsi="宋体" w:eastAsia="宋体" w:cs="宋体"/>
                <w:spacing w:val="-2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括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HPV16/ 18/31/33/</w:t>
            </w:r>
          </w:p>
          <w:p w14:paraId="1ADAC4C0">
            <w:pPr>
              <w:ind w:left="4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35/45/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51/52/</w:t>
            </w:r>
            <w:r>
              <w:rPr>
                <w:rFonts w:ascii="Times New Roman" w:hAnsi="Times New Roman" w:eastAsia="Times New Roman" w:cs="Times New Roman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58</w:t>
            </w:r>
            <w:r>
              <w:rPr>
                <w:rFonts w:ascii="Times New Roman" w:hAnsi="Times New Roman" w:eastAsia="Times New Roman" w:cs="Times New Roman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，</w:t>
            </w:r>
            <w:r>
              <w:rPr>
                <w:rFonts w:ascii="宋体" w:hAnsi="宋体" w:eastAsia="宋体" w:cs="宋体"/>
                <w:spacing w:val="-3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主要引起子宫颈癌、肛门癌、生殖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器癌。</w:t>
            </w:r>
          </w:p>
          <w:p w14:paraId="3095B903">
            <w:pPr>
              <w:ind w:left="17" w:right="56" w:firstLine="75"/>
              <w:jc w:val="center"/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</w:pPr>
          </w:p>
          <w:p w14:paraId="4DB81C52">
            <w:pPr>
              <w:ind w:right="56"/>
              <w:jc w:val="center"/>
              <w:rPr>
                <w:rFonts w:ascii="宋体" w:hAnsi="宋体" w:eastAsia="宋体" w:cs="宋体"/>
                <w:spacing w:val="-1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中国女性约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98%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的宫颈癌由高危型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HPV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导致， 最常见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HPV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型别为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HPV52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16</w:t>
            </w:r>
            <w:r>
              <w:rPr>
                <w:rFonts w:ascii="Times New Roman" w:hAnsi="Times New Roman" w:eastAsia="Times New Roman" w:cs="Times New Roman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58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型，</w:t>
            </w:r>
            <w:r>
              <w:rPr>
                <w:rFonts w:ascii="宋体" w:hAnsi="宋体" w:eastAsia="宋体" w:cs="宋体"/>
                <w:spacing w:val="-2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研 究显示：</w:t>
            </w:r>
            <w:r>
              <w:rPr>
                <w:rFonts w:ascii="宋体" w:hAnsi="宋体" w:eastAsia="宋体" w:cs="宋体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中国女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性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HPV</w:t>
            </w:r>
            <w:r>
              <w:rPr>
                <w:rFonts w:ascii="Times New Roman" w:hAnsi="Times New Roman" w:eastAsia="Times New Roman" w:cs="Times New Roman"/>
                <w:spacing w:val="5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感染率按年龄呈</w:t>
            </w:r>
            <w:r>
              <w:rPr>
                <w:rFonts w:ascii="Times New Roman" w:hAnsi="Times New Roman" w:eastAsia="Times New Roman" w:cs="Times New Roman"/>
                <w:spacing w:val="3"/>
                <w:sz w:val="18"/>
                <w:szCs w:val="18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双峰 </w:t>
            </w:r>
            <w:r>
              <w:rPr>
                <w:rFonts w:ascii="Times New Roman" w:hAnsi="Times New Roman" w:eastAsia="Times New Roman" w:cs="Times New Roman"/>
                <w:spacing w:val="3"/>
                <w:sz w:val="18"/>
                <w:szCs w:val="18"/>
              </w:rPr>
              <w:t>”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分布： 第一个高峰在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“17-24</w:t>
            </w:r>
            <w:r>
              <w:rPr>
                <w:rFonts w:ascii="Times New Roman" w:hAnsi="Times New Roman" w:eastAsia="Times New Roman" w:cs="Times New Roman"/>
                <w:spacing w:val="28"/>
                <w:w w:val="10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岁</w:t>
            </w:r>
            <w:r>
              <w:rPr>
                <w:rFonts w:ascii="宋体" w:hAnsi="宋体" w:eastAsia="宋体" w:cs="宋体"/>
                <w:spacing w:val="-4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”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，</w:t>
            </w:r>
            <w:r>
              <w:rPr>
                <w:rFonts w:ascii="宋体" w:hAnsi="宋体" w:eastAsia="宋体" w:cs="宋体"/>
                <w:spacing w:val="-3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第二个高</w:t>
            </w:r>
            <w:r>
              <w:rPr>
                <w:rFonts w:ascii="宋体" w:hAnsi="宋体" w:eastAsia="宋体" w:cs="宋体"/>
                <w:spacing w:val="-3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峰在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“40-44</w:t>
            </w:r>
            <w:r>
              <w:rPr>
                <w:rFonts w:ascii="Times New Roman" w:hAnsi="Times New Roman" w:eastAsia="Times New Roman" w:cs="Times New Roman"/>
                <w:spacing w:val="13"/>
                <w:w w:val="10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岁</w:t>
            </w:r>
            <w:r>
              <w:rPr>
                <w:rFonts w:ascii="宋体" w:hAnsi="宋体" w:eastAsia="宋体" w:cs="宋体"/>
                <w:spacing w:val="-44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”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。</w:t>
            </w:r>
          </w:p>
          <w:p w14:paraId="523691FB">
            <w:pPr>
              <w:ind w:right="56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</w:pPr>
          </w:p>
          <w:p w14:paraId="446304E5">
            <w:pPr>
              <w:spacing w:before="2"/>
              <w:ind w:right="142"/>
              <w:jc w:val="center"/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青少年性行为的低龄化，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青少年时期的生理发育特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点，</w:t>
            </w:r>
            <w:r>
              <w:rPr>
                <w:rFonts w:ascii="宋体" w:hAnsi="宋体" w:eastAsia="宋体" w:cs="宋体"/>
                <w:spacing w:val="-2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都使得青少年成为</w:t>
            </w:r>
            <w:r>
              <w:rPr>
                <w:rFonts w:ascii="宋体" w:hAnsi="宋体" w:eastAsia="宋体" w:cs="宋体"/>
                <w:spacing w:val="-1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了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HPV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感染的高发人群。</w:t>
            </w:r>
          </w:p>
          <w:p w14:paraId="214ED33B">
            <w:pPr>
              <w:spacing w:before="2" w:line="209" w:lineRule="auto"/>
              <w:ind w:left="227" w:right="142" w:hanging="58"/>
              <w:jc w:val="center"/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</w:pPr>
          </w:p>
        </w:tc>
        <w:tc>
          <w:tcPr>
            <w:tcW w:w="2170" w:type="dxa"/>
            <w:vMerge w:val="restart"/>
            <w:tcBorders>
              <w:bottom w:val="nil"/>
            </w:tcBorders>
            <w:vAlign w:val="center"/>
          </w:tcPr>
          <w:p w14:paraId="223E053D">
            <w:pPr>
              <w:spacing w:before="51" w:line="234" w:lineRule="auto"/>
              <w:ind w:left="38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用于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预防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 xml:space="preserve"> HPV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16 、18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、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31 、33、45 、52 、58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型别引起的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宫颈癌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及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癌前病变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；HPV 6型、11型、16型、18型、31型、33型、45型、52型、58型引起的持续感染；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 xml:space="preserve">HPV6 、11 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型别引起的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生殖器疣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；HPV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16 、1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8型别引起的肛门癌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等。</w:t>
            </w:r>
          </w:p>
        </w:tc>
        <w:tc>
          <w:tcPr>
            <w:tcW w:w="1320" w:type="dxa"/>
            <w:tcBorders>
              <w:bottom w:val="nil"/>
            </w:tcBorders>
            <w:vAlign w:val="center"/>
          </w:tcPr>
          <w:p w14:paraId="0B635574">
            <w:pPr>
              <w:spacing w:before="36" w:line="209" w:lineRule="auto"/>
              <w:ind w:left="45" w:leftChars="0" w:right="211" w:rightChars="0" w:firstLine="7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461C91E">
            <w:pPr>
              <w:spacing w:before="36" w:line="209" w:lineRule="auto"/>
              <w:ind w:left="45" w:leftChars="0" w:right="211" w:rightChars="0" w:firstLine="7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9-14岁女性</w:t>
            </w:r>
          </w:p>
        </w:tc>
        <w:tc>
          <w:tcPr>
            <w:tcW w:w="1845" w:type="dxa"/>
            <w:vAlign w:val="center"/>
          </w:tcPr>
          <w:p w14:paraId="4F6D7954">
            <w:pPr>
              <w:spacing w:before="36" w:line="209" w:lineRule="auto"/>
              <w:ind w:left="45" w:right="211" w:firstLine="7"/>
              <w:jc w:val="center"/>
              <w:rPr>
                <w:rFonts w:ascii="宋体" w:hAnsi="宋体" w:eastAsia="宋体" w:cs="宋体"/>
                <w:spacing w:val="-5"/>
                <w:sz w:val="18"/>
                <w:szCs w:val="18"/>
              </w:rPr>
            </w:pPr>
          </w:p>
          <w:p w14:paraId="4AC58995">
            <w:pPr>
              <w:spacing w:before="36" w:line="209" w:lineRule="auto"/>
              <w:ind w:left="45" w:right="211" w:firstLine="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共接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种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eastAsia="Times New Roman" w:cs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剂</w:t>
            </w: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，于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eastAsia="Times New Roman" w:cs="Times New Roman"/>
                <w:spacing w:val="-7"/>
                <w:sz w:val="18"/>
                <w:szCs w:val="18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6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接种</w:t>
            </w:r>
          </w:p>
        </w:tc>
        <w:tc>
          <w:tcPr>
            <w:tcW w:w="941" w:type="dxa"/>
            <w:vMerge w:val="restart"/>
            <w:tcBorders>
              <w:bottom w:val="nil"/>
            </w:tcBorders>
            <w:vAlign w:val="center"/>
          </w:tcPr>
          <w:p w14:paraId="4B34DAD0">
            <w:pPr>
              <w:spacing w:before="56" w:line="233" w:lineRule="auto"/>
              <w:ind w:firstLine="174" w:firstLineChars="100"/>
              <w:jc w:val="center"/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  <w:lang w:eastAsia="en-US"/>
              </w:rPr>
            </w:pPr>
          </w:p>
          <w:p w14:paraId="76088ECA">
            <w:pPr>
              <w:spacing w:before="56" w:line="233" w:lineRule="auto"/>
              <w:ind w:firstLine="174" w:firstLineChars="100"/>
              <w:jc w:val="center"/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  <w:lang w:eastAsia="en-US"/>
              </w:rPr>
            </w:pPr>
          </w:p>
          <w:p w14:paraId="7AEB60B8">
            <w:pPr>
              <w:spacing w:before="55" w:line="233" w:lineRule="auto"/>
              <w:jc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eastAsia="en-US"/>
              </w:rPr>
              <w:t>1330元/剂</w:t>
            </w:r>
          </w:p>
          <w:p w14:paraId="3B2C6F8E">
            <w:pPr>
              <w:spacing w:before="55" w:line="233" w:lineRule="auto"/>
              <w:jc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</w:p>
          <w:p w14:paraId="4B944729">
            <w:pPr>
              <w:spacing w:before="55" w:line="233" w:lineRule="auto"/>
              <w:jc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highlight w:val="yellow"/>
                <w:lang w:val="en-US" w:eastAsia="zh-CN"/>
              </w:rPr>
              <w:t>惠民活动减免一针疫苗费用</w:t>
            </w:r>
          </w:p>
        </w:tc>
      </w:tr>
      <w:tr w14:paraId="01E264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1285" w:type="dxa"/>
            <w:vMerge w:val="continue"/>
            <w:tcBorders>
              <w:top w:val="nil"/>
            </w:tcBorders>
            <w:vAlign w:val="center"/>
          </w:tcPr>
          <w:p w14:paraId="75CF460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30" w:type="dxa"/>
            <w:vMerge w:val="continue"/>
            <w:tcBorders>
              <w:top w:val="nil"/>
              <w:bottom w:val="nil"/>
            </w:tcBorders>
            <w:vAlign w:val="center"/>
          </w:tcPr>
          <w:p w14:paraId="7D47E14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 w:val="continue"/>
            <w:tcBorders>
              <w:top w:val="nil"/>
            </w:tcBorders>
            <w:vAlign w:val="center"/>
          </w:tcPr>
          <w:p w14:paraId="1604E052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20" w:type="dxa"/>
            <w:tcBorders>
              <w:top w:val="nil"/>
            </w:tcBorders>
            <w:vAlign w:val="center"/>
          </w:tcPr>
          <w:p w14:paraId="3DF726A9">
            <w:pPr>
              <w:spacing w:before="44" w:line="196" w:lineRule="auto"/>
              <w:ind w:left="178" w:leftChars="85" w:right="147" w:firstLine="1440" w:firstLineChars="800"/>
              <w:jc w:val="center"/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2540</wp:posOffset>
                      </wp:positionV>
                      <wp:extent cx="840105" cy="3175"/>
                      <wp:effectExtent l="0" t="0" r="0" b="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4561840" y="2610485"/>
                                <a:ext cx="840105" cy="3175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 y;margin-left:0.15pt;margin-top:0.2pt;height:0.25pt;width:66.15pt;z-index:251659264;mso-width-relative:page;mso-height-relative:page;" filled="f" stroked="t" coordsize="21600,21600" o:gfxdata="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a7pS8tMAAAACAQAADwAAAAAAAAABACAAAAAiAAAAZHJzL2Rvd25yZXYueG1sUEsB&#10;AhQAFAAAAAgAh07iQKXOmvr6AQAA0wMAAA4AAAAAAAAAAQAgAAAAIgEAAGRycy9lMm9Eb2MueG1s&#10;UEsFBgAAAAAGAAYAWQEAAI4FAAAAAA==&#10;">
                      <v:fill on="f" focussize="0,0"/>
                      <v:stroke weight="0.25pt" color="#000000 [3213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5D0507A8">
            <w:pPr>
              <w:spacing w:line="226" w:lineRule="auto"/>
              <w:ind w:left="72" w:leftChars="0"/>
              <w:jc w:val="center"/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</w:pPr>
          </w:p>
          <w:p w14:paraId="0CA9417C">
            <w:pPr>
              <w:spacing w:line="226" w:lineRule="auto"/>
              <w:ind w:left="72" w:leftChars="0"/>
              <w:jc w:val="center"/>
              <w:rPr>
                <w:rFonts w:hint="eastAsia" w:ascii="宋体" w:hAnsi="宋体" w:eastAsia="宋体" w:cs="宋体"/>
                <w:spacing w:val="-7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  <w:lang w:eastAsia="en-US"/>
              </w:rPr>
              <w:t>16-26岁男性</w:t>
            </w:r>
          </w:p>
          <w:p w14:paraId="49058415">
            <w:pPr>
              <w:spacing w:line="226" w:lineRule="auto"/>
              <w:ind w:left="72" w:leftChars="0"/>
              <w:jc w:val="center"/>
              <w:rPr>
                <w:rFonts w:hint="eastAsia" w:ascii="宋体" w:hAnsi="宋体" w:eastAsia="宋体" w:cs="宋体"/>
                <w:spacing w:val="-7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  <w:lang w:eastAsia="en-US"/>
              </w:rPr>
              <w:t>9-45岁女性</w:t>
            </w:r>
          </w:p>
        </w:tc>
        <w:tc>
          <w:tcPr>
            <w:tcW w:w="1845" w:type="dxa"/>
            <w:vAlign w:val="center"/>
          </w:tcPr>
          <w:p w14:paraId="3BE3D39C">
            <w:pPr>
              <w:spacing w:before="44" w:line="196" w:lineRule="auto"/>
              <w:ind w:left="178" w:leftChars="85" w:right="147" w:firstLine="1328" w:firstLineChars="800"/>
              <w:jc w:val="center"/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</w:pPr>
          </w:p>
          <w:p w14:paraId="3607139B">
            <w:pPr>
              <w:spacing w:before="44" w:line="196" w:lineRule="auto"/>
              <w:ind w:right="147" w:firstLine="332" w:firstLineChars="20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共接种</w:t>
            </w: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 w:eastAsia="Times New Roman" w:cs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剂，</w:t>
            </w:r>
          </w:p>
          <w:p w14:paraId="33D57BC6">
            <w:pPr>
              <w:spacing w:line="226" w:lineRule="auto"/>
              <w:ind w:left="7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于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、2、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6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接种</w:t>
            </w:r>
          </w:p>
        </w:tc>
        <w:tc>
          <w:tcPr>
            <w:tcW w:w="941" w:type="dxa"/>
            <w:vMerge w:val="continue"/>
            <w:tcBorders>
              <w:top w:val="nil"/>
            </w:tcBorders>
            <w:vAlign w:val="center"/>
          </w:tcPr>
          <w:p w14:paraId="06277C3A">
            <w:pPr>
              <w:jc w:val="center"/>
              <w:rPr>
                <w:sz w:val="22"/>
                <w:szCs w:val="22"/>
              </w:rPr>
            </w:pPr>
          </w:p>
        </w:tc>
      </w:tr>
      <w:tr w14:paraId="4F3AE6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285" w:type="dxa"/>
            <w:vMerge w:val="restart"/>
            <w:vAlign w:val="center"/>
          </w:tcPr>
          <w:p w14:paraId="13E68C39">
            <w:pPr>
              <w:spacing w:before="55" w:line="216" w:lineRule="auto"/>
              <w:ind w:left="340" w:leftChars="75" w:hanging="182" w:hangingChars="100"/>
              <w:jc w:val="center"/>
              <w:rPr>
                <w:rFonts w:ascii="宋体" w:hAnsi="宋体" w:eastAsia="宋体" w:cs="宋体"/>
                <w:spacing w:val="-2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九价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HPV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疫苗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（</w:t>
            </w: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  <w:lang w:val="en-US" w:eastAsia="zh-CN"/>
              </w:rPr>
              <w:t>国产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）</w:t>
            </w:r>
          </w:p>
        </w:tc>
        <w:tc>
          <w:tcPr>
            <w:tcW w:w="3130" w:type="dxa"/>
            <w:vMerge w:val="continue"/>
            <w:tcBorders>
              <w:top w:val="nil"/>
              <w:bottom w:val="nil"/>
            </w:tcBorders>
            <w:vAlign w:val="center"/>
          </w:tcPr>
          <w:p w14:paraId="473EEB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vAlign w:val="center"/>
          </w:tcPr>
          <w:p w14:paraId="64C1AFF3">
            <w:pPr>
              <w:spacing w:before="1" w:line="214" w:lineRule="auto"/>
              <w:ind w:left="37" w:right="185" w:firstLine="27"/>
              <w:jc w:val="center"/>
              <w:rPr>
                <w:rFonts w:hint="default" w:ascii="宋体" w:hAnsi="宋体" w:eastAsia="宋体" w:cs="宋体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用于预防由HPV16.18型引起的宫颈癌及癌前病变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已获得HPV16.18.31.33.45.52.58型引起的持续感染的临床试验数据。针对HPV31.33.45.52.58型引起的癌前病变及宫颈癌以及HPV6.11型引起的尖锐湿疣等的保护效力研究尚在进行中。</w:t>
            </w:r>
          </w:p>
        </w:tc>
        <w:tc>
          <w:tcPr>
            <w:tcW w:w="1320" w:type="dxa"/>
            <w:vAlign w:val="center"/>
          </w:tcPr>
          <w:p w14:paraId="49D73BE7">
            <w:pPr>
              <w:spacing w:before="271" w:line="234" w:lineRule="auto"/>
              <w:ind w:left="44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9-1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岁女性</w:t>
            </w:r>
          </w:p>
        </w:tc>
        <w:tc>
          <w:tcPr>
            <w:tcW w:w="1845" w:type="dxa"/>
            <w:tcBorders>
              <w:bottom w:val="nil"/>
            </w:tcBorders>
            <w:vAlign w:val="center"/>
          </w:tcPr>
          <w:p w14:paraId="076C2015">
            <w:pPr>
              <w:spacing w:line="233" w:lineRule="auto"/>
              <w:ind w:left="72"/>
              <w:jc w:val="center"/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共接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种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eastAsia="Times New Roman" w:cs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剂</w:t>
            </w: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，</w:t>
            </w:r>
          </w:p>
          <w:p w14:paraId="0CD6C87A">
            <w:pPr>
              <w:spacing w:line="233" w:lineRule="auto"/>
              <w:ind w:left="72"/>
              <w:jc w:val="center"/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于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eastAsia="Times New Roman" w:cs="Times New Roman"/>
                <w:spacing w:val="-7"/>
                <w:sz w:val="18"/>
                <w:szCs w:val="18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6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接种</w:t>
            </w:r>
          </w:p>
        </w:tc>
        <w:tc>
          <w:tcPr>
            <w:tcW w:w="941" w:type="dxa"/>
            <w:vMerge w:val="restart"/>
            <w:vAlign w:val="center"/>
          </w:tcPr>
          <w:p w14:paraId="7AC6DAC7">
            <w:pPr>
              <w:spacing w:before="56" w:line="233" w:lineRule="auto"/>
              <w:ind w:firstLine="174" w:firstLineChars="100"/>
              <w:jc w:val="center"/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spacing w:val="-3"/>
                <w:sz w:val="18"/>
                <w:szCs w:val="18"/>
                <w:lang w:val="en-US" w:eastAsia="zh-CN"/>
              </w:rPr>
              <w:t>531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  <w:lang w:eastAsia="en-US"/>
              </w:rPr>
              <w:t>元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  <w:lang w:eastAsia="en-US"/>
              </w:rPr>
              <w:t>/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  <w:lang w:eastAsia="en-US"/>
              </w:rPr>
              <w:t>剂</w:t>
            </w:r>
          </w:p>
        </w:tc>
      </w:tr>
      <w:tr w14:paraId="4AE5BF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285" w:type="dxa"/>
            <w:vMerge w:val="continue"/>
            <w:tcBorders>
              <w:bottom w:val="nil"/>
            </w:tcBorders>
            <w:vAlign w:val="center"/>
          </w:tcPr>
          <w:p w14:paraId="22CAA159">
            <w:pPr>
              <w:spacing w:before="55" w:line="216" w:lineRule="auto"/>
              <w:ind w:left="334" w:leftChars="75" w:hanging="176" w:hangingChars="100"/>
              <w:jc w:val="center"/>
              <w:rPr>
                <w:rFonts w:ascii="宋体" w:hAnsi="宋体" w:eastAsia="宋体" w:cs="宋体"/>
                <w:spacing w:val="-2"/>
                <w:sz w:val="18"/>
                <w:szCs w:val="18"/>
              </w:rPr>
            </w:pPr>
          </w:p>
        </w:tc>
        <w:tc>
          <w:tcPr>
            <w:tcW w:w="3130" w:type="dxa"/>
            <w:vMerge w:val="continue"/>
            <w:tcBorders>
              <w:top w:val="nil"/>
              <w:bottom w:val="nil"/>
            </w:tcBorders>
            <w:vAlign w:val="center"/>
          </w:tcPr>
          <w:p w14:paraId="23A0A7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0" w:type="dxa"/>
            <w:vMerge w:val="continue"/>
            <w:tcBorders>
              <w:bottom w:val="nil"/>
            </w:tcBorders>
            <w:vAlign w:val="center"/>
          </w:tcPr>
          <w:p w14:paraId="75E11B05">
            <w:pPr>
              <w:spacing w:before="1" w:line="214" w:lineRule="auto"/>
              <w:ind w:left="37" w:right="185" w:firstLine="27"/>
              <w:jc w:val="center"/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14:paraId="2D2C4C40">
            <w:pPr>
              <w:spacing w:before="271" w:line="234" w:lineRule="auto"/>
              <w:ind w:left="44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18-45岁女性</w:t>
            </w:r>
          </w:p>
        </w:tc>
        <w:tc>
          <w:tcPr>
            <w:tcW w:w="1845" w:type="dxa"/>
            <w:tcBorders>
              <w:bottom w:val="nil"/>
            </w:tcBorders>
            <w:vAlign w:val="center"/>
          </w:tcPr>
          <w:p w14:paraId="3B4053DC">
            <w:pPr>
              <w:spacing w:before="44" w:line="196" w:lineRule="auto"/>
              <w:ind w:right="147" w:firstLine="332" w:firstLineChars="20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共接种</w:t>
            </w: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 w:eastAsia="Times New Roman" w:cs="Times New Roma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剂，</w:t>
            </w:r>
          </w:p>
          <w:p w14:paraId="5894309C">
            <w:pPr>
              <w:spacing w:line="233" w:lineRule="auto"/>
              <w:ind w:left="72"/>
              <w:jc w:val="center"/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于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、</w:t>
            </w: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6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接种</w:t>
            </w:r>
          </w:p>
        </w:tc>
        <w:tc>
          <w:tcPr>
            <w:tcW w:w="941" w:type="dxa"/>
            <w:vMerge w:val="continue"/>
            <w:tcBorders>
              <w:bottom w:val="nil"/>
            </w:tcBorders>
            <w:vAlign w:val="center"/>
          </w:tcPr>
          <w:p w14:paraId="5306F6AB">
            <w:pPr>
              <w:spacing w:before="56" w:line="233" w:lineRule="auto"/>
              <w:jc w:val="center"/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  <w:lang w:eastAsia="en-US"/>
              </w:rPr>
            </w:pPr>
          </w:p>
        </w:tc>
      </w:tr>
      <w:tr w14:paraId="49EF90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285" w:type="dxa"/>
            <w:vMerge w:val="restart"/>
            <w:tcBorders>
              <w:bottom w:val="nil"/>
            </w:tcBorders>
            <w:vAlign w:val="center"/>
          </w:tcPr>
          <w:p w14:paraId="5936B080">
            <w:pPr>
              <w:spacing w:before="55" w:line="216" w:lineRule="auto"/>
              <w:jc w:val="both"/>
              <w:rPr>
                <w:rFonts w:ascii="宋体" w:hAnsi="宋体" w:eastAsia="宋体" w:cs="宋体"/>
                <w:spacing w:val="-2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四价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HPV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疫苗</w:t>
            </w:r>
          </w:p>
          <w:p w14:paraId="726002FD">
            <w:pPr>
              <w:spacing w:before="55" w:line="216" w:lineRule="auto"/>
              <w:ind w:firstLine="166" w:firstLineChars="10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（进口）</w:t>
            </w:r>
          </w:p>
        </w:tc>
        <w:tc>
          <w:tcPr>
            <w:tcW w:w="3130" w:type="dxa"/>
            <w:vMerge w:val="continue"/>
            <w:tcBorders>
              <w:top w:val="nil"/>
              <w:bottom w:val="nil"/>
            </w:tcBorders>
            <w:vAlign w:val="center"/>
          </w:tcPr>
          <w:p w14:paraId="7E3D6B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tcBorders>
              <w:bottom w:val="nil"/>
            </w:tcBorders>
            <w:vAlign w:val="center"/>
          </w:tcPr>
          <w:p w14:paraId="6CDC6F35">
            <w:pPr>
              <w:spacing w:before="1" w:line="214" w:lineRule="auto"/>
              <w:ind w:left="37" w:right="185" w:firstLine="27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用于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预防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HPV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16</w:t>
            </w:r>
            <w:r>
              <w:rPr>
                <w:rFonts w:ascii="Times New Roman" w:hAnsi="Times New Roman" w:eastAsia="Times New Roman" w:cs="Times New Roman"/>
                <w:spacing w:val="-2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18</w:t>
            </w:r>
            <w:r>
              <w:rPr>
                <w:rFonts w:hint="eastAsia" w:ascii="Times New Roman" w:hAnsi="Times New Roman" w:eastAsia="宋体" w:cs="Times New Roman"/>
                <w:spacing w:val="-7"/>
                <w:sz w:val="18"/>
                <w:szCs w:val="18"/>
              </w:rPr>
              <w:t>型别引起的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宫颈癌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6"/>
                <w:sz w:val="18"/>
                <w:szCs w:val="18"/>
              </w:rPr>
              <w:t>AIS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）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；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HPV6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 xml:space="preserve">11 </w:t>
            </w:r>
            <w:r>
              <w:rPr>
                <w:rFonts w:hint="eastAsia" w:ascii="Times New Roman" w:hAnsi="Times New Roman" w:eastAsia="宋体" w:cs="Times New Roman"/>
                <w:spacing w:val="-1"/>
                <w:sz w:val="18"/>
                <w:szCs w:val="18"/>
              </w:rPr>
              <w:t>型别引起的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生殖器疣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；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HPV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16</w:t>
            </w:r>
            <w:r>
              <w:rPr>
                <w:rFonts w:ascii="Times New Roman" w:hAnsi="Times New Roman" w:eastAsia="Times New Roman" w:cs="Times New Roman"/>
                <w:spacing w:val="-2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pacing w:val="-7"/>
                <w:sz w:val="18"/>
                <w:szCs w:val="18"/>
              </w:rPr>
              <w:t>8型别引起的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肛门癌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  <w:lang w:val="en-US" w:eastAsia="zh-CN"/>
              </w:rPr>
              <w:t>等。</w:t>
            </w:r>
          </w:p>
        </w:tc>
        <w:tc>
          <w:tcPr>
            <w:tcW w:w="1320" w:type="dxa"/>
            <w:vAlign w:val="center"/>
          </w:tcPr>
          <w:p w14:paraId="6AB24FCB">
            <w:pPr>
              <w:spacing w:before="271" w:line="234" w:lineRule="auto"/>
              <w:ind w:left="44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>9-45</w:t>
            </w:r>
            <w:r>
              <w:rPr>
                <w:rFonts w:ascii="宋体" w:hAnsi="宋体" w:eastAsia="宋体" w:cs="宋体"/>
                <w:sz w:val="18"/>
                <w:szCs w:val="18"/>
                <w:lang w:eastAsia="en-US"/>
              </w:rPr>
              <w:t>岁女性</w:t>
            </w:r>
          </w:p>
        </w:tc>
        <w:tc>
          <w:tcPr>
            <w:tcW w:w="1845" w:type="dxa"/>
            <w:vMerge w:val="restart"/>
            <w:tcBorders>
              <w:bottom w:val="nil"/>
            </w:tcBorders>
            <w:vAlign w:val="center"/>
          </w:tcPr>
          <w:p w14:paraId="002C0BDC">
            <w:pPr>
              <w:spacing w:before="55" w:line="200" w:lineRule="auto"/>
              <w:ind w:firstLine="522" w:firstLineChars="30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共接种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3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剂，</w:t>
            </w:r>
          </w:p>
          <w:p w14:paraId="4CBB14DB">
            <w:pPr>
              <w:spacing w:line="233" w:lineRule="auto"/>
              <w:ind w:left="7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于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、2、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6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接种</w:t>
            </w:r>
          </w:p>
        </w:tc>
        <w:tc>
          <w:tcPr>
            <w:tcW w:w="941" w:type="dxa"/>
            <w:vMerge w:val="restart"/>
            <w:tcBorders>
              <w:bottom w:val="nil"/>
            </w:tcBorders>
            <w:vAlign w:val="center"/>
          </w:tcPr>
          <w:p w14:paraId="2615106C">
            <w:pPr>
              <w:spacing w:before="56" w:line="233" w:lineRule="auto"/>
              <w:ind w:firstLine="176" w:firstLineChars="100"/>
              <w:jc w:val="both"/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  <w:lang w:eastAsia="en-US"/>
              </w:rPr>
              <w:t>830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  <w:lang w:eastAsia="en-US"/>
              </w:rPr>
              <w:t>元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  <w:lang w:eastAsia="en-US"/>
              </w:rPr>
              <w:t>/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  <w:lang w:eastAsia="en-US"/>
              </w:rPr>
              <w:t>剂</w:t>
            </w:r>
          </w:p>
        </w:tc>
      </w:tr>
      <w:tr w14:paraId="4D2C16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285" w:type="dxa"/>
            <w:vMerge w:val="continue"/>
            <w:tcBorders>
              <w:top w:val="nil"/>
            </w:tcBorders>
            <w:vAlign w:val="center"/>
          </w:tcPr>
          <w:p w14:paraId="3DAD60E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30" w:type="dxa"/>
            <w:vMerge w:val="continue"/>
            <w:tcBorders>
              <w:top w:val="nil"/>
              <w:bottom w:val="nil"/>
            </w:tcBorders>
            <w:vAlign w:val="center"/>
          </w:tcPr>
          <w:p w14:paraId="0495766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 w:val="continue"/>
            <w:tcBorders>
              <w:top w:val="nil"/>
            </w:tcBorders>
            <w:vAlign w:val="center"/>
          </w:tcPr>
          <w:p w14:paraId="286796F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Align w:val="center"/>
          </w:tcPr>
          <w:p w14:paraId="5626E1C1">
            <w:pPr>
              <w:spacing w:before="279" w:line="234" w:lineRule="auto"/>
              <w:ind w:left="44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>9-26</w:t>
            </w:r>
            <w:r>
              <w:rPr>
                <w:rFonts w:ascii="宋体" w:hAnsi="宋体" w:eastAsia="宋体" w:cs="宋体"/>
                <w:sz w:val="18"/>
                <w:szCs w:val="18"/>
                <w:lang w:eastAsia="en-US"/>
              </w:rPr>
              <w:t>岁男性</w:t>
            </w:r>
          </w:p>
        </w:tc>
        <w:tc>
          <w:tcPr>
            <w:tcW w:w="1845" w:type="dxa"/>
            <w:vMerge w:val="continue"/>
            <w:tcBorders>
              <w:top w:val="nil"/>
            </w:tcBorders>
            <w:vAlign w:val="center"/>
          </w:tcPr>
          <w:p w14:paraId="6FE509F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1" w:type="dxa"/>
            <w:vMerge w:val="continue"/>
            <w:tcBorders>
              <w:top w:val="nil"/>
            </w:tcBorders>
            <w:vAlign w:val="center"/>
          </w:tcPr>
          <w:p w14:paraId="53D5543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14:paraId="4087D3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1285" w:type="dxa"/>
            <w:vAlign w:val="center"/>
          </w:tcPr>
          <w:p w14:paraId="2006F216">
            <w:pPr>
              <w:spacing w:line="303" w:lineRule="auto"/>
              <w:jc w:val="center"/>
              <w:rPr>
                <w:sz w:val="22"/>
                <w:szCs w:val="22"/>
              </w:rPr>
            </w:pPr>
          </w:p>
          <w:p w14:paraId="5FBD6E0E">
            <w:pPr>
              <w:spacing w:before="62" w:line="220" w:lineRule="auto"/>
              <w:ind w:left="284" w:leftChars="42" w:hanging="196" w:hangingChars="10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二价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HPV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疫苗</w:t>
            </w: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（国产）</w:t>
            </w:r>
          </w:p>
        </w:tc>
        <w:tc>
          <w:tcPr>
            <w:tcW w:w="3130" w:type="dxa"/>
            <w:vMerge w:val="continue"/>
            <w:tcBorders>
              <w:top w:val="nil"/>
              <w:bottom w:val="nil"/>
            </w:tcBorders>
            <w:vAlign w:val="center"/>
          </w:tcPr>
          <w:p w14:paraId="02C5E9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tcBorders>
              <w:bottom w:val="nil"/>
            </w:tcBorders>
            <w:vAlign w:val="center"/>
          </w:tcPr>
          <w:p w14:paraId="3A3E1ACB">
            <w:pPr>
              <w:spacing w:line="333" w:lineRule="auto"/>
              <w:jc w:val="center"/>
              <w:rPr>
                <w:sz w:val="22"/>
                <w:szCs w:val="22"/>
              </w:rPr>
            </w:pPr>
          </w:p>
          <w:p w14:paraId="3763333D">
            <w:pPr>
              <w:spacing w:line="334" w:lineRule="auto"/>
              <w:jc w:val="center"/>
              <w:rPr>
                <w:sz w:val="22"/>
                <w:szCs w:val="22"/>
              </w:rPr>
            </w:pPr>
          </w:p>
          <w:p w14:paraId="7C55E368">
            <w:pPr>
              <w:spacing w:before="52" w:line="204" w:lineRule="auto"/>
              <w:ind w:left="35" w:right="141" w:firstLine="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预防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HPV16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18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两种型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别</w:t>
            </w: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引起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的宫颈癌</w:t>
            </w: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及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宫颈原位腺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癌（</w:t>
            </w:r>
            <w:r>
              <w:rPr>
                <w:rFonts w:ascii="Times New Roman" w:hAnsi="Times New Roman" w:eastAsia="Times New Roman" w:cs="Times New Roman"/>
                <w:spacing w:val="-6"/>
                <w:sz w:val="18"/>
                <w:szCs w:val="18"/>
              </w:rPr>
              <w:t>AIS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）</w:t>
            </w:r>
          </w:p>
        </w:tc>
        <w:tc>
          <w:tcPr>
            <w:tcW w:w="1320" w:type="dxa"/>
            <w:vMerge w:val="restart"/>
            <w:tcBorders>
              <w:bottom w:val="nil"/>
            </w:tcBorders>
            <w:vAlign w:val="center"/>
          </w:tcPr>
          <w:p w14:paraId="38CF49F4">
            <w:pPr>
              <w:spacing w:line="273" w:lineRule="auto"/>
              <w:jc w:val="center"/>
              <w:rPr>
                <w:sz w:val="22"/>
                <w:szCs w:val="22"/>
              </w:rPr>
            </w:pPr>
          </w:p>
          <w:p w14:paraId="2BB56E2E">
            <w:pPr>
              <w:spacing w:line="273" w:lineRule="auto"/>
              <w:jc w:val="center"/>
              <w:rPr>
                <w:sz w:val="22"/>
                <w:szCs w:val="22"/>
              </w:rPr>
            </w:pPr>
          </w:p>
          <w:p w14:paraId="28EB438A">
            <w:pPr>
              <w:spacing w:line="274" w:lineRule="auto"/>
              <w:jc w:val="center"/>
              <w:rPr>
                <w:sz w:val="22"/>
                <w:szCs w:val="22"/>
              </w:rPr>
            </w:pPr>
          </w:p>
          <w:p w14:paraId="42DA2FEA">
            <w:pPr>
              <w:spacing w:line="274" w:lineRule="auto"/>
              <w:jc w:val="center"/>
              <w:rPr>
                <w:sz w:val="22"/>
                <w:szCs w:val="22"/>
              </w:rPr>
            </w:pPr>
          </w:p>
          <w:p w14:paraId="2840B6E2">
            <w:pPr>
              <w:spacing w:before="61" w:line="235" w:lineRule="auto"/>
              <w:ind w:left="66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eastAsia="en-US"/>
              </w:rPr>
              <w:t>9-45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  <w:lang w:eastAsia="en-US"/>
              </w:rPr>
              <w:t>岁女性</w:t>
            </w:r>
          </w:p>
        </w:tc>
        <w:tc>
          <w:tcPr>
            <w:tcW w:w="1845" w:type="dxa"/>
            <w:vMerge w:val="restart"/>
            <w:tcBorders>
              <w:bottom w:val="nil"/>
            </w:tcBorders>
            <w:vAlign w:val="center"/>
          </w:tcPr>
          <w:p w14:paraId="20BE04F6">
            <w:pPr>
              <w:spacing w:before="56" w:line="203" w:lineRule="auto"/>
              <w:ind w:right="147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9-14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岁，</w:t>
            </w:r>
            <w:r>
              <w:rPr>
                <w:rFonts w:ascii="宋体" w:hAnsi="宋体" w:eastAsia="宋体" w:cs="宋体"/>
                <w:spacing w:val="-4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共接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种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2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剂，</w:t>
            </w: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于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6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接种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；</w:t>
            </w:r>
            <w:r>
              <w:rPr>
                <w:rFonts w:ascii="宋体" w:hAnsi="宋体" w:eastAsia="宋体" w:cs="宋体"/>
                <w:spacing w:val="21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9"/>
                <w:sz w:val="18"/>
                <w:szCs w:val="18"/>
              </w:rPr>
              <w:t>15-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45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岁，</w:t>
            </w:r>
            <w:r>
              <w:rPr>
                <w:rFonts w:ascii="宋体" w:hAnsi="宋体" w:eastAsia="宋体" w:cs="宋体"/>
                <w:spacing w:val="-4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共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</w:rPr>
              <w:t>3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剂，</w:t>
            </w: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于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、</w:t>
            </w: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</w:rPr>
              <w:t>6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接种</w:t>
            </w:r>
          </w:p>
        </w:tc>
        <w:tc>
          <w:tcPr>
            <w:tcW w:w="941" w:type="dxa"/>
            <w:vAlign w:val="center"/>
          </w:tcPr>
          <w:p w14:paraId="39881D14">
            <w:pPr>
              <w:spacing w:before="55" w:line="233" w:lineRule="auto"/>
              <w:ind w:firstLine="178" w:firstLineChars="100"/>
              <w:jc w:val="both"/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  <w:lang w:eastAsia="en-US"/>
              </w:rPr>
              <w:t>361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  <w:lang w:eastAsia="en-US"/>
              </w:rPr>
              <w:t>元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  <w:lang w:eastAsia="en-US"/>
              </w:rPr>
              <w:t>/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  <w:lang w:eastAsia="en-US"/>
              </w:rPr>
              <w:t>剂</w:t>
            </w:r>
          </w:p>
        </w:tc>
      </w:tr>
      <w:tr w14:paraId="753D22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1285" w:type="dxa"/>
            <w:vAlign w:val="center"/>
          </w:tcPr>
          <w:p w14:paraId="1AD70F94">
            <w:pPr>
              <w:spacing w:line="310" w:lineRule="auto"/>
              <w:jc w:val="center"/>
              <w:rPr>
                <w:sz w:val="22"/>
                <w:szCs w:val="22"/>
              </w:rPr>
            </w:pPr>
          </w:p>
          <w:p w14:paraId="5E77E3F7">
            <w:pPr>
              <w:spacing w:before="62" w:line="214" w:lineRule="auto"/>
              <w:ind w:left="9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二价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HPV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疫苗</w:t>
            </w: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（进口）</w:t>
            </w:r>
          </w:p>
        </w:tc>
        <w:tc>
          <w:tcPr>
            <w:tcW w:w="3130" w:type="dxa"/>
            <w:vMerge w:val="continue"/>
            <w:tcBorders>
              <w:top w:val="nil"/>
            </w:tcBorders>
            <w:vAlign w:val="center"/>
          </w:tcPr>
          <w:p w14:paraId="4D1720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0" w:type="dxa"/>
            <w:vMerge w:val="continue"/>
            <w:tcBorders>
              <w:top w:val="nil"/>
            </w:tcBorders>
            <w:vAlign w:val="center"/>
          </w:tcPr>
          <w:p w14:paraId="10642D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vMerge w:val="continue"/>
            <w:tcBorders>
              <w:top w:val="nil"/>
            </w:tcBorders>
            <w:vAlign w:val="center"/>
          </w:tcPr>
          <w:p w14:paraId="304E5A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nil"/>
            </w:tcBorders>
            <w:vAlign w:val="center"/>
          </w:tcPr>
          <w:p w14:paraId="466D62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dxa"/>
            <w:vAlign w:val="center"/>
          </w:tcPr>
          <w:p w14:paraId="00C9A7E8">
            <w:pPr>
              <w:spacing w:before="56" w:line="233" w:lineRule="auto"/>
              <w:ind w:firstLine="178" w:firstLineChars="100"/>
              <w:jc w:val="both"/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  <w:lang w:eastAsia="en-US"/>
              </w:rPr>
              <w:t>612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  <w:lang w:eastAsia="en-US"/>
              </w:rPr>
              <w:t>元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  <w:lang w:eastAsia="en-US"/>
              </w:rPr>
              <w:t>/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  <w:lang w:eastAsia="en-US"/>
              </w:rPr>
              <w:t>剂</w:t>
            </w:r>
          </w:p>
        </w:tc>
      </w:tr>
      <w:tr w14:paraId="17DB39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2" w:hRule="atLeast"/>
        </w:trPr>
        <w:tc>
          <w:tcPr>
            <w:tcW w:w="1285" w:type="dxa"/>
            <w:vAlign w:val="center"/>
          </w:tcPr>
          <w:p w14:paraId="7114471C">
            <w:pPr>
              <w:spacing w:line="225" w:lineRule="auto"/>
              <w:jc w:val="center"/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  <w:lang w:eastAsia="en-US"/>
              </w:rPr>
              <w:t>乙肝疫苗</w:t>
            </w:r>
          </w:p>
        </w:tc>
        <w:tc>
          <w:tcPr>
            <w:tcW w:w="3130" w:type="dxa"/>
            <w:vAlign w:val="center"/>
          </w:tcPr>
          <w:p w14:paraId="07F2C435">
            <w:pPr>
              <w:spacing w:before="1" w:line="216" w:lineRule="auto"/>
              <w:ind w:left="34" w:leftChars="0" w:right="149" w:rightChars="0" w:firstLine="2" w:firstLineChars="0"/>
              <w:jc w:val="center"/>
              <w:rPr>
                <w:rFonts w:ascii="宋体" w:hAnsi="宋体" w:eastAsia="宋体" w:cs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乙型肝炎</w:t>
            </w: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简称乙肝，</w:t>
            </w:r>
            <w:r>
              <w:rPr>
                <w:rFonts w:hint="eastAsia" w:ascii="宋体" w:hAnsi="宋体" w:eastAsia="宋体" w:cs="宋体"/>
                <w:spacing w:val="-18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是一种由乙型肝炎病毒引起的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严重传染病。其主要传播途径包括母婴传播、血液与</w:t>
            </w: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体液传播、性接触传播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  <w:lang w:val="en-US" w:eastAsia="zh-CN"/>
              </w:rPr>
              <w:t>等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。</w:t>
            </w:r>
          </w:p>
        </w:tc>
        <w:tc>
          <w:tcPr>
            <w:tcW w:w="2170" w:type="dxa"/>
            <w:vAlign w:val="center"/>
          </w:tcPr>
          <w:p w14:paraId="4051C1B1">
            <w:pPr>
              <w:spacing w:before="2" w:line="197" w:lineRule="auto"/>
              <w:ind w:left="48" w:leftChars="0" w:right="49" w:rightChars="0"/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  <w:lang w:eastAsia="en-US"/>
              </w:rPr>
              <w:t>预防乙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型肝炎</w:t>
            </w:r>
          </w:p>
        </w:tc>
        <w:tc>
          <w:tcPr>
            <w:tcW w:w="1320" w:type="dxa"/>
            <w:vAlign w:val="center"/>
          </w:tcPr>
          <w:p w14:paraId="3BA242F8">
            <w:pPr>
              <w:spacing w:before="55" w:line="206" w:lineRule="auto"/>
              <w:ind w:left="37" w:leftChars="0" w:right="63" w:rightChars="0" w:firstLine="4" w:firstLineChars="0"/>
              <w:jc w:val="center"/>
              <w:rPr>
                <w:rFonts w:ascii="Times New Roman" w:hAnsi="Times New Roman" w:eastAsia="Times New Roman" w:cs="Times New Roman"/>
                <w:spacing w:val="3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en-US"/>
              </w:rPr>
              <w:t>16岁 （含16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en-US"/>
              </w:rPr>
              <w:t>岁）</w:t>
            </w:r>
            <w:r>
              <w:rPr>
                <w:rFonts w:hint="eastAsia" w:ascii="宋体" w:hAnsi="宋体" w:eastAsia="宋体" w:cs="宋体"/>
                <w:spacing w:val="19"/>
                <w:sz w:val="18"/>
                <w:szCs w:val="18"/>
                <w:lang w:eastAsia="en-US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en-US"/>
              </w:rPr>
              <w:t>以上人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  <w:t xml:space="preserve"> 群</w:t>
            </w:r>
          </w:p>
        </w:tc>
        <w:tc>
          <w:tcPr>
            <w:tcW w:w="1845" w:type="dxa"/>
            <w:vAlign w:val="center"/>
          </w:tcPr>
          <w:p w14:paraId="793890DC">
            <w:pPr>
              <w:spacing w:before="55" w:line="288" w:lineRule="auto"/>
              <w:ind w:left="5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共接种3剂，</w:t>
            </w:r>
          </w:p>
          <w:p w14:paraId="6AC4A8CC">
            <w:pPr>
              <w:spacing w:line="232" w:lineRule="auto"/>
              <w:ind w:left="45" w:leftChars="0"/>
              <w:jc w:val="center"/>
              <w:rPr>
                <w:rFonts w:ascii="宋体" w:hAnsi="宋体" w:eastAsia="宋体" w:cs="宋体"/>
                <w:spacing w:val="-2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pacing w:val="-8"/>
                <w:sz w:val="18"/>
                <w:szCs w:val="18"/>
              </w:rPr>
              <w:t>间隔0；1；6月</w:t>
            </w:r>
          </w:p>
        </w:tc>
        <w:tc>
          <w:tcPr>
            <w:tcW w:w="941" w:type="dxa"/>
            <w:vAlign w:val="center"/>
          </w:tcPr>
          <w:p w14:paraId="575BEC0A">
            <w:pPr>
              <w:spacing w:before="55" w:line="233" w:lineRule="auto"/>
              <w:ind w:left="184" w:leftChars="0"/>
              <w:jc w:val="center"/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eastAsia="en-US"/>
              </w:rPr>
              <w:t>140元/剂</w:t>
            </w:r>
          </w:p>
        </w:tc>
      </w:tr>
      <w:tr w14:paraId="2424D0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2" w:hRule="atLeast"/>
        </w:trPr>
        <w:tc>
          <w:tcPr>
            <w:tcW w:w="1285" w:type="dxa"/>
            <w:vAlign w:val="center"/>
          </w:tcPr>
          <w:p w14:paraId="1B8E60C1">
            <w:pPr>
              <w:spacing w:line="267" w:lineRule="auto"/>
              <w:jc w:val="both"/>
              <w:rPr>
                <w:sz w:val="22"/>
                <w:szCs w:val="22"/>
                <w:lang w:eastAsia="en-US"/>
              </w:rPr>
            </w:pPr>
          </w:p>
          <w:p w14:paraId="4E29E016">
            <w:pPr>
              <w:spacing w:before="55" w:line="216" w:lineRule="auto"/>
              <w:jc w:val="both"/>
              <w:rPr>
                <w:rFonts w:ascii="宋体" w:hAnsi="宋体" w:eastAsia="宋体" w:cs="宋体"/>
                <w:spacing w:val="1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  <w:lang w:eastAsia="en-US"/>
              </w:rPr>
              <w:t>23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  <w:lang w:eastAsia="en-US"/>
              </w:rPr>
              <w:t>价肺炎疫苗</w:t>
            </w:r>
          </w:p>
          <w:p w14:paraId="622C427D">
            <w:pPr>
              <w:spacing w:before="55" w:line="216" w:lineRule="auto"/>
              <w:ind w:firstLine="166" w:firstLineChars="100"/>
              <w:jc w:val="both"/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  <w:lang w:eastAsia="en-US"/>
              </w:rPr>
              <w:t>（进口）</w:t>
            </w:r>
          </w:p>
        </w:tc>
        <w:tc>
          <w:tcPr>
            <w:tcW w:w="3130" w:type="dxa"/>
            <w:vAlign w:val="center"/>
          </w:tcPr>
          <w:p w14:paraId="7C0D3E95">
            <w:pPr>
              <w:spacing w:before="55"/>
              <w:ind w:right="149" w:firstLine="176" w:firstLineChars="10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中国上市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25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年；</w:t>
            </w:r>
            <w:r>
              <w:rPr>
                <w:rFonts w:ascii="宋体" w:hAnsi="宋体" w:eastAsia="宋体" w:cs="宋体"/>
                <w:spacing w:val="-2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接种本品后，</w:t>
            </w:r>
            <w:r>
              <w:rPr>
                <w:rFonts w:ascii="宋体" w:hAnsi="宋体" w:eastAsia="宋体" w:cs="宋体"/>
                <w:spacing w:val="-3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糖尿病人减少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84%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血清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型引起的感染；</w:t>
            </w:r>
            <w:r>
              <w:rPr>
                <w:rFonts w:ascii="宋体" w:hAnsi="宋体" w:eastAsia="宋体" w:cs="宋体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冠心病病人减少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73%</w:t>
            </w:r>
            <w:r>
              <w:rPr>
                <w:rFonts w:ascii="宋体" w:hAnsi="宋体" w:eastAsia="宋体" w:cs="宋体"/>
                <w:sz w:val="18"/>
                <w:szCs w:val="18"/>
              </w:rPr>
              <w:t>血清型引起的感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染；</w:t>
            </w:r>
            <w:r>
              <w:rPr>
                <w:rFonts w:ascii="宋体" w:hAnsi="宋体" w:eastAsia="宋体" w:cs="宋体"/>
                <w:spacing w:val="-3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充血性心力衰竭病人减少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69%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血清型引起的感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染；</w:t>
            </w:r>
            <w:r>
              <w:rPr>
                <w:rFonts w:ascii="宋体" w:hAnsi="宋体" w:eastAsia="宋体" w:cs="宋体"/>
                <w:spacing w:val="-2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对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65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岁以上免疫功能正常者的有效性为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75%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；</w:t>
            </w:r>
            <w:r>
              <w:rPr>
                <w:rFonts w:ascii="宋体" w:hAnsi="宋体" w:eastAsia="宋体" w:cs="宋体"/>
                <w:spacing w:val="-3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接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种后保护效力长达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10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年；</w:t>
            </w:r>
            <w:r>
              <w:rPr>
                <w:rFonts w:ascii="宋体" w:hAnsi="宋体" w:eastAsia="宋体" w:cs="宋体"/>
                <w:spacing w:val="-2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全球应用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&gt;3.5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亿剂。</w:t>
            </w:r>
          </w:p>
        </w:tc>
        <w:tc>
          <w:tcPr>
            <w:tcW w:w="2170" w:type="dxa"/>
            <w:vAlign w:val="center"/>
          </w:tcPr>
          <w:p w14:paraId="34802F99">
            <w:pPr>
              <w:spacing w:before="82" w:line="207" w:lineRule="auto"/>
              <w:ind w:left="35" w:right="102" w:firstLine="2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  <w:lang w:eastAsia="en-US"/>
              </w:rPr>
              <w:t>用于预防疫苗所含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  <w:lang w:eastAsia="en-US"/>
              </w:rPr>
              <w:t>23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  <w:lang w:eastAsia="en-US"/>
              </w:rPr>
              <w:t>种</w:t>
            </w:r>
            <w:r>
              <w:rPr>
                <w:rFonts w:ascii="宋体" w:hAnsi="宋体" w:eastAsia="宋体" w:cs="宋体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  <w:lang w:eastAsia="en-US"/>
              </w:rPr>
              <w:t>肺炎球菌血清型（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  <w:lang w:eastAsia="en-US"/>
              </w:rPr>
              <w:t>1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  <w:lang w:eastAsia="en-US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5"/>
                <w:sz w:val="18"/>
                <w:szCs w:val="18"/>
                <w:lang w:eastAsia="en-US"/>
              </w:rPr>
              <w:t>2</w:t>
            </w:r>
            <w:r>
              <w:rPr>
                <w:rFonts w:ascii="Times New Roman" w:hAnsi="Times New Roman" w:eastAsia="Times New Roman" w:cs="Times New Roman"/>
                <w:spacing w:val="2"/>
                <w:sz w:val="18"/>
                <w:szCs w:val="18"/>
                <w:lang w:eastAsia="en-US"/>
              </w:rPr>
              <w:t xml:space="preserve">  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  <w:lang w:eastAsia="en-US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  <w:lang w:eastAsia="en-US"/>
              </w:rPr>
              <w:t>3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  <w:lang w:eastAsia="en-US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  <w:lang w:eastAsia="en-US"/>
              </w:rPr>
              <w:t>4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  <w:lang w:eastAsia="en-US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  <w:lang w:eastAsia="en-US"/>
              </w:rPr>
              <w:t>5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  <w:lang w:eastAsia="en-US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  <w:lang w:eastAsia="en-US"/>
              </w:rPr>
              <w:t>6B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  <w:lang w:eastAsia="en-US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  <w:lang w:eastAsia="en-US"/>
              </w:rPr>
              <w:t>7F</w:t>
            </w:r>
            <w:r>
              <w:rPr>
                <w:rFonts w:ascii="Times New Roman" w:hAnsi="Times New Roman" w:eastAsia="Times New Roman" w:cs="Times New Roman"/>
                <w:spacing w:val="-18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  <w:lang w:eastAsia="en-US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  <w:lang w:eastAsia="en-US"/>
              </w:rPr>
              <w:t>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  <w:lang w:eastAsia="en-US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  <w:lang w:eastAsia="en-US"/>
              </w:rPr>
              <w:t>9N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  <w:lang w:eastAsia="en-US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  <w:lang w:eastAsia="en-US"/>
              </w:rPr>
              <w:t>9V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  <w:lang w:eastAsia="en-US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  <w:lang w:eastAsia="en-US"/>
              </w:rPr>
              <w:t>10A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  <w:lang w:eastAsia="en-US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  <w:lang w:eastAsia="en-US"/>
              </w:rPr>
              <w:t>11A</w:t>
            </w:r>
          </w:p>
          <w:p w14:paraId="2CDD7E7A">
            <w:pPr>
              <w:spacing w:before="3" w:line="205" w:lineRule="auto"/>
              <w:ind w:left="48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  <w:lang w:eastAsia="en-US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  <w:lang w:eastAsia="en-US"/>
              </w:rPr>
              <w:t>12F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  <w:lang w:eastAsia="en-US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  <w:lang w:eastAsia="en-US"/>
              </w:rPr>
              <w:t>14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  <w:lang w:eastAsia="en-US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  <w:lang w:eastAsia="en-US"/>
              </w:rPr>
              <w:t>15B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  <w:lang w:eastAsia="en-US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  <w:lang w:eastAsia="en-US"/>
              </w:rPr>
              <w:t>17F</w:t>
            </w:r>
          </w:p>
          <w:p w14:paraId="12B331D1">
            <w:pPr>
              <w:spacing w:before="2" w:line="197" w:lineRule="auto"/>
              <w:ind w:left="48" w:right="49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  <w:lang w:eastAsia="en-US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  <w:lang w:eastAsia="en-US"/>
              </w:rPr>
              <w:t>18C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  <w:lang w:eastAsia="en-US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  <w:lang w:eastAsia="en-US"/>
              </w:rPr>
              <w:t>19A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  <w:lang w:eastAsia="en-US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  <w:lang w:eastAsia="en-US"/>
              </w:rPr>
              <w:t>19F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  <w:lang w:eastAsia="en-US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  <w:lang w:eastAsia="en-US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  <w:lang w:eastAsia="en-US"/>
              </w:rPr>
              <w:t xml:space="preserve">   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  <w:lang w:eastAsia="en-US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  <w:lang w:eastAsia="en-US"/>
              </w:rPr>
              <w:t>22F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  <w:lang w:eastAsia="en-US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  <w:lang w:eastAsia="en-US"/>
              </w:rPr>
              <w:t>23F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  <w:lang w:eastAsia="en-US"/>
              </w:rPr>
              <w:t>和</w:t>
            </w:r>
            <w:r>
              <w:rPr>
                <w:rFonts w:ascii="Times New Roman" w:hAnsi="Times New Roman" w:eastAsia="Times New Roman" w:cs="Times New Roman"/>
                <w:spacing w:val="-7"/>
                <w:sz w:val="18"/>
                <w:szCs w:val="18"/>
                <w:lang w:eastAsia="en-US"/>
              </w:rPr>
              <w:t>33F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  <w:lang w:eastAsia="en-US"/>
              </w:rPr>
              <w:t>）</w:t>
            </w:r>
            <w:r>
              <w:rPr>
                <w:rFonts w:ascii="宋体" w:hAnsi="宋体" w:eastAsia="宋体" w:cs="宋体"/>
                <w:spacing w:val="-26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  <w:lang w:eastAsia="en-US"/>
              </w:rPr>
              <w:t>导致</w:t>
            </w:r>
            <w:r>
              <w:rPr>
                <w:rFonts w:ascii="宋体" w:hAnsi="宋体" w:eastAsia="宋体" w:cs="宋体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  <w:lang w:eastAsia="en-US"/>
              </w:rPr>
              <w:t>的肺炎球菌感染性疾病</w:t>
            </w:r>
          </w:p>
        </w:tc>
        <w:tc>
          <w:tcPr>
            <w:tcW w:w="1320" w:type="dxa"/>
            <w:vAlign w:val="center"/>
          </w:tcPr>
          <w:p w14:paraId="7EEE73A2">
            <w:pPr>
              <w:spacing w:line="274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538D0055">
            <w:pPr>
              <w:spacing w:line="275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0CCF8666">
            <w:pPr>
              <w:spacing w:line="275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28369894">
            <w:pPr>
              <w:spacing w:before="55" w:line="206" w:lineRule="auto"/>
              <w:ind w:left="37" w:right="63" w:firstLine="4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8"/>
                <w:szCs w:val="18"/>
                <w:lang w:eastAsia="en-US"/>
              </w:rPr>
              <w:t>2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  <w:lang w:eastAsia="en-US"/>
              </w:rPr>
              <w:t>岁及以上人</w:t>
            </w:r>
            <w:r>
              <w:rPr>
                <w:rFonts w:ascii="宋体" w:hAnsi="宋体" w:eastAsia="宋体" w:cs="宋体"/>
                <w:sz w:val="18"/>
                <w:szCs w:val="18"/>
                <w:lang w:eastAsia="en-US"/>
              </w:rPr>
              <w:t xml:space="preserve"> 群</w:t>
            </w:r>
          </w:p>
        </w:tc>
        <w:tc>
          <w:tcPr>
            <w:tcW w:w="1845" w:type="dxa"/>
            <w:vAlign w:val="center"/>
          </w:tcPr>
          <w:p w14:paraId="1529C9EA">
            <w:pPr>
              <w:spacing w:before="55" w:line="208" w:lineRule="auto"/>
              <w:ind w:firstLine="522" w:firstLineChars="30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共接种</w:t>
            </w: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1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剂；</w:t>
            </w:r>
          </w:p>
          <w:p w14:paraId="13B6EEC6">
            <w:pPr>
              <w:spacing w:line="200" w:lineRule="auto"/>
              <w:ind w:left="52" w:right="2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65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岁以上间隔五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年以上可再接</w:t>
            </w:r>
          </w:p>
          <w:p w14:paraId="12B9CD78">
            <w:pPr>
              <w:spacing w:line="232" w:lineRule="auto"/>
              <w:ind w:left="45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  <w:lang w:eastAsia="en-US"/>
              </w:rPr>
              <w:t>种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  <w:lang w:eastAsia="en-US"/>
              </w:rPr>
              <w:t>1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  <w:lang w:eastAsia="en-US"/>
              </w:rPr>
              <w:t>剂</w:t>
            </w:r>
          </w:p>
        </w:tc>
        <w:tc>
          <w:tcPr>
            <w:tcW w:w="941" w:type="dxa"/>
            <w:vAlign w:val="center"/>
          </w:tcPr>
          <w:p w14:paraId="7CD1ABA2">
            <w:pPr>
              <w:spacing w:before="55" w:line="233" w:lineRule="auto"/>
              <w:ind w:firstLine="178" w:firstLineChars="100"/>
              <w:jc w:val="both"/>
              <w:rPr>
                <w:rFonts w:hint="eastAsia" w:ascii="宋体" w:hAnsi="宋体" w:eastAsia="宋体" w:cs="宋体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  <w:lang w:eastAsia="en-US"/>
              </w:rPr>
              <w:t>280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  <w:lang w:eastAsia="en-US"/>
              </w:rPr>
              <w:t>元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  <w:lang w:eastAsia="en-US"/>
              </w:rPr>
              <w:t>/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  <w:lang w:eastAsia="en-US"/>
              </w:rPr>
              <w:t>剂</w:t>
            </w:r>
          </w:p>
        </w:tc>
      </w:tr>
      <w:tr w14:paraId="18F240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3" w:hRule="atLeast"/>
        </w:trPr>
        <w:tc>
          <w:tcPr>
            <w:tcW w:w="1285" w:type="dxa"/>
            <w:vAlign w:val="center"/>
          </w:tcPr>
          <w:p w14:paraId="7CB07592">
            <w:pPr>
              <w:spacing w:line="225" w:lineRule="auto"/>
              <w:ind w:firstLine="172" w:firstLineChars="100"/>
              <w:jc w:val="both"/>
              <w:rPr>
                <w:rFonts w:hint="eastAsia" w:ascii="宋体" w:hAnsi="宋体" w:eastAsia="宋体" w:cs="宋体"/>
                <w:spacing w:val="-4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  <w:lang w:eastAsia="en-US"/>
              </w:rPr>
              <w:t>带状疱疹疫苗</w:t>
            </w:r>
          </w:p>
          <w:p w14:paraId="11F62DD4">
            <w:pPr>
              <w:spacing w:line="225" w:lineRule="auto"/>
              <w:jc w:val="center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  <w:lang w:eastAsia="en-US"/>
              </w:rPr>
              <w:t>(进口)</w:t>
            </w:r>
          </w:p>
        </w:tc>
        <w:tc>
          <w:tcPr>
            <w:tcW w:w="3130" w:type="dxa"/>
            <w:vAlign w:val="center"/>
          </w:tcPr>
          <w:p w14:paraId="050B00DD">
            <w:pPr>
              <w:spacing w:before="130" w:line="209" w:lineRule="auto"/>
              <w:ind w:left="26" w:right="128" w:firstLine="12"/>
              <w:jc w:val="center"/>
              <w:rPr>
                <w:rFonts w:hint="eastAsia"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带状疱疹带来的最大危害就是疼痛，  除了皮肤上的水 疱和红斑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更可怕的是带状疱疹后神经痛。这种疼痛 有电击般的瞬间刺痛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有刀割般的剧痛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有烈火焚身的烧灼痛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痛彻心扉。这种疼痛的持续时间往往很长，  短则数月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长则数年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甚至数十年。部分带状疱 疹的皮疹消失后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eastAsia="zh-CN"/>
              </w:rPr>
              <w:t>，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仍要长期忍受着神经痛的折磨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2170" w:type="dxa"/>
            <w:vAlign w:val="center"/>
          </w:tcPr>
          <w:p w14:paraId="4DB1515B">
            <w:pPr>
              <w:spacing w:line="341" w:lineRule="auto"/>
              <w:jc w:val="center"/>
              <w:rPr>
                <w:rFonts w:ascii="Arial"/>
                <w:sz w:val="21"/>
              </w:rPr>
            </w:pPr>
          </w:p>
          <w:p w14:paraId="2869A6B6">
            <w:pPr>
              <w:spacing w:before="2" w:line="197" w:lineRule="auto"/>
              <w:ind w:left="48" w:right="49"/>
              <w:jc w:val="center"/>
              <w:rPr>
                <w:rFonts w:hint="eastAsia" w:ascii="宋体" w:hAnsi="宋体" w:eastAsia="宋体" w:cs="宋体"/>
                <w:spacing w:val="3"/>
                <w:sz w:val="18"/>
                <w:szCs w:val="18"/>
                <w:lang w:eastAsia="en-US"/>
              </w:rPr>
            </w:pPr>
          </w:p>
          <w:p w14:paraId="5EE26327">
            <w:pPr>
              <w:spacing w:before="2" w:line="197" w:lineRule="auto"/>
              <w:ind w:left="48" w:right="49"/>
              <w:jc w:val="center"/>
              <w:rPr>
                <w:rFonts w:hint="default" w:ascii="宋体" w:hAnsi="宋体" w:eastAsia="宋体" w:cs="宋体"/>
                <w:sz w:val="17"/>
                <w:szCs w:val="17"/>
                <w:lang w:val="en-US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  <w:lang w:val="en-US" w:eastAsia="zh-CN"/>
              </w:rPr>
              <w:t>本品适用于预防带状疱疹。不适用于预防原发性水痘。</w:t>
            </w:r>
          </w:p>
        </w:tc>
        <w:tc>
          <w:tcPr>
            <w:tcW w:w="1320" w:type="dxa"/>
            <w:vAlign w:val="center"/>
          </w:tcPr>
          <w:p w14:paraId="2232DC1F">
            <w:pPr>
              <w:spacing w:line="284" w:lineRule="auto"/>
              <w:jc w:val="center"/>
              <w:rPr>
                <w:rFonts w:ascii="Arial"/>
                <w:sz w:val="21"/>
              </w:rPr>
            </w:pPr>
          </w:p>
          <w:p w14:paraId="3AD6F7CB">
            <w:pPr>
              <w:spacing w:line="285" w:lineRule="auto"/>
              <w:jc w:val="center"/>
              <w:rPr>
                <w:rFonts w:ascii="Arial"/>
                <w:sz w:val="21"/>
              </w:rPr>
            </w:pPr>
          </w:p>
          <w:p w14:paraId="53113E4D">
            <w:pPr>
              <w:spacing w:before="56" w:line="224" w:lineRule="auto"/>
              <w:ind w:left="37" w:right="155" w:firstLine="15"/>
              <w:jc w:val="center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en-US"/>
              </w:rPr>
              <w:t>50岁以上人 群</w:t>
            </w:r>
          </w:p>
        </w:tc>
        <w:tc>
          <w:tcPr>
            <w:tcW w:w="1845" w:type="dxa"/>
            <w:vAlign w:val="center"/>
          </w:tcPr>
          <w:p w14:paraId="037A9F61">
            <w:pPr>
              <w:spacing w:before="55" w:line="224" w:lineRule="auto"/>
              <w:ind w:right="232"/>
              <w:jc w:val="both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pacing w:val="-5"/>
                <w:sz w:val="18"/>
                <w:szCs w:val="18"/>
                <w:lang w:eastAsia="en-US"/>
              </w:rPr>
              <w:t>共接种2剂， 2剂间隔2-6月</w:t>
            </w:r>
          </w:p>
        </w:tc>
        <w:tc>
          <w:tcPr>
            <w:tcW w:w="941" w:type="dxa"/>
            <w:vAlign w:val="center"/>
          </w:tcPr>
          <w:p w14:paraId="40008C91">
            <w:pPr>
              <w:spacing w:before="55" w:line="233" w:lineRule="auto"/>
              <w:jc w:val="both"/>
              <w:rPr>
                <w:rFonts w:hint="eastAsia" w:ascii="宋体" w:hAnsi="宋体" w:eastAsia="宋体" w:cs="宋体"/>
                <w:spacing w:val="-3"/>
                <w:sz w:val="18"/>
                <w:szCs w:val="18"/>
                <w:lang w:eastAsia="en-US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eastAsia="en-US"/>
              </w:rPr>
              <w:t>1630元/剂</w:t>
            </w:r>
          </w:p>
          <w:p w14:paraId="7030E169">
            <w:pPr>
              <w:spacing w:before="55" w:line="233" w:lineRule="auto"/>
              <w:ind w:left="184"/>
              <w:jc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eastAsia="en-US"/>
              </w:rPr>
            </w:pPr>
          </w:p>
          <w:p w14:paraId="5D0CECE7">
            <w:pPr>
              <w:spacing w:before="55" w:line="233" w:lineRule="auto"/>
              <w:jc w:val="center"/>
              <w:rPr>
                <w:rFonts w:ascii="宋体" w:hAnsi="宋体" w:eastAsia="宋体" w:cs="宋体"/>
                <w:spacing w:val="-2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highlight w:val="yellow"/>
                <w:lang w:val="en-US" w:eastAsia="zh-CN"/>
              </w:rPr>
              <w:t>惠民活动减免一针疫苗费用</w:t>
            </w:r>
          </w:p>
        </w:tc>
      </w:tr>
      <w:tr w14:paraId="203F59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8" w:hRule="atLeast"/>
        </w:trPr>
        <w:tc>
          <w:tcPr>
            <w:tcW w:w="1285" w:type="dxa"/>
            <w:vAlign w:val="center"/>
          </w:tcPr>
          <w:p w14:paraId="66EF39A2">
            <w:pPr>
              <w:spacing w:line="225" w:lineRule="auto"/>
              <w:ind w:firstLine="166" w:firstLineChars="100"/>
              <w:jc w:val="center"/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7"/>
                <w:sz w:val="18"/>
                <w:szCs w:val="18"/>
              </w:rPr>
              <w:t>破伤风疫苗</w:t>
            </w:r>
          </w:p>
        </w:tc>
        <w:tc>
          <w:tcPr>
            <w:tcW w:w="3130" w:type="dxa"/>
            <w:vAlign w:val="center"/>
          </w:tcPr>
          <w:p w14:paraId="3413B61B">
            <w:pPr>
              <w:spacing w:before="1" w:line="216" w:lineRule="auto"/>
              <w:ind w:right="149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外伤后处理</w:t>
            </w:r>
          </w:p>
          <w:p w14:paraId="708818F6">
            <w:pPr>
              <w:spacing w:before="1" w:line="216" w:lineRule="auto"/>
              <w:ind w:left="34" w:right="149" w:firstLine="2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</w:pPr>
          </w:p>
          <w:p w14:paraId="2A93D7E6">
            <w:pPr>
              <w:spacing w:before="1" w:line="216" w:lineRule="auto"/>
              <w:ind w:left="34" w:right="149" w:firstLine="2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清洁伤口：全程免疫后5年内无需处理；5-10年加强1剂；超过10年需接种1剂疫苗。</w:t>
            </w:r>
          </w:p>
          <w:p w14:paraId="6890C00A">
            <w:pPr>
              <w:spacing w:before="1" w:line="216" w:lineRule="auto"/>
              <w:ind w:left="34" w:right="149" w:firstLine="2"/>
              <w:jc w:val="center"/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不洁或污染伤口：全程免疫后5-10年加强1剂；超过10年需接种1剂疫苗和破伤风免疫球蛋白（TIG）或破伤风抗毒素（TAT）。</w:t>
            </w:r>
          </w:p>
        </w:tc>
        <w:tc>
          <w:tcPr>
            <w:tcW w:w="2170" w:type="dxa"/>
            <w:vAlign w:val="center"/>
          </w:tcPr>
          <w:p w14:paraId="5BEB5B33">
            <w:pPr>
              <w:spacing w:before="2" w:line="197" w:lineRule="auto"/>
              <w:ind w:left="48" w:right="49"/>
              <w:jc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用于预防破伤风</w:t>
            </w:r>
          </w:p>
        </w:tc>
        <w:tc>
          <w:tcPr>
            <w:tcW w:w="1320" w:type="dxa"/>
            <w:vAlign w:val="center"/>
          </w:tcPr>
          <w:p w14:paraId="367239E9">
            <w:pPr>
              <w:spacing w:before="55" w:line="206" w:lineRule="auto"/>
              <w:ind w:left="37" w:right="63" w:firstLine="4"/>
              <w:jc w:val="center"/>
              <w:rPr>
                <w:rFonts w:ascii="Times New Roman" w:hAnsi="Times New Roman" w:eastAsia="Times New Roman" w:cs="Times New Roman"/>
                <w:spacing w:val="3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pacing w:val="3"/>
                <w:sz w:val="18"/>
                <w:szCs w:val="18"/>
              </w:rPr>
              <w:t>根据个人免疫史和伤口情况，咨询医生制定具体接种方案。</w:t>
            </w:r>
          </w:p>
        </w:tc>
        <w:tc>
          <w:tcPr>
            <w:tcW w:w="1845" w:type="dxa"/>
            <w:vAlign w:val="center"/>
          </w:tcPr>
          <w:p w14:paraId="21E3B68E">
            <w:pPr>
              <w:spacing w:line="232" w:lineRule="auto"/>
              <w:ind w:left="45"/>
              <w:jc w:val="center"/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成人接种程序</w:t>
            </w:r>
          </w:p>
          <w:p w14:paraId="280C2068">
            <w:pPr>
              <w:spacing w:line="232" w:lineRule="auto"/>
              <w:ind w:left="45"/>
              <w:jc w:val="center"/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</w:pPr>
          </w:p>
          <w:p w14:paraId="2C7132D9">
            <w:pPr>
              <w:spacing w:line="232" w:lineRule="auto"/>
              <w:ind w:left="45"/>
              <w:jc w:val="center"/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全程免疫：未接种或免疫史不详者，需接种3剂，第1剂与第2剂间隔4-8周，第2剂与第3剂间隔6-12个月。</w:t>
            </w:r>
          </w:p>
          <w:p w14:paraId="771501CC">
            <w:pPr>
              <w:spacing w:line="232" w:lineRule="auto"/>
              <w:ind w:left="45"/>
              <w:jc w:val="center"/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</w:pPr>
          </w:p>
          <w:p w14:paraId="54007FF8">
            <w:pPr>
              <w:spacing w:line="232" w:lineRule="auto"/>
              <w:ind w:left="45"/>
              <w:jc w:val="center"/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加强免疫：全程免疫后，每10年加强1剂；若伤口为不洁或污染伤口，且距上次接种超过5年，需加强1剂。</w:t>
            </w:r>
          </w:p>
        </w:tc>
        <w:tc>
          <w:tcPr>
            <w:tcW w:w="941" w:type="dxa"/>
            <w:vAlign w:val="center"/>
          </w:tcPr>
          <w:p w14:paraId="6C1F9C7C">
            <w:pPr>
              <w:spacing w:before="55" w:line="233" w:lineRule="auto"/>
              <w:ind w:left="184"/>
              <w:jc w:val="center"/>
              <w:rPr>
                <w:rFonts w:ascii="Times New Roman" w:hAnsi="Times New Roman" w:eastAsia="宋体" w:cs="Times New Roman"/>
                <w:spacing w:val="-1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pacing w:val="-1"/>
                <w:sz w:val="18"/>
                <w:szCs w:val="18"/>
              </w:rPr>
              <w:t>212元/剂</w:t>
            </w:r>
          </w:p>
        </w:tc>
      </w:tr>
    </w:tbl>
    <w:p w14:paraId="67B9009C">
      <w:pPr>
        <w:pStyle w:val="2"/>
        <w:spacing w:beforeAutospacing="0" w:afterAutospacing="0" w:line="240" w:lineRule="atLeast"/>
        <w:rPr>
          <w:rFonts w:hint="eastAsia" w:ascii="宋体" w:hAnsi="宋体" w:eastAsia="宋体" w:cs="宋体"/>
          <w:szCs w:val="24"/>
        </w:rPr>
      </w:pPr>
    </w:p>
    <w:p w14:paraId="108C0E9A"/>
    <w:sectPr>
      <w:pgSz w:w="11903" w:h="16841"/>
      <w:pgMar w:top="1046" w:right="596" w:bottom="0" w:left="67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6A1687"/>
    <w:rsid w:val="602E43B7"/>
    <w:rsid w:val="76BA2DDD"/>
    <w:rsid w:val="7A39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Autospacing="1" w:afterAutospacing="1"/>
    </w:pPr>
    <w:rPr>
      <w:rFonts w:cs="Times New Roman"/>
      <w:sz w:val="24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1630</Words>
  <Characters>1945</Characters>
  <Lines>0</Lines>
  <Paragraphs>0</Paragraphs>
  <TotalTime>5</TotalTime>
  <ScaleCrop>false</ScaleCrop>
  <LinksUpToDate>false</LinksUpToDate>
  <CharactersWithSpaces>2073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2026-05-19T09:06:00Z</dcterms:created>
  <dc:creator>huawei</dc:creator>
  <cp:lastModifiedBy>huawei</cp:lastModifiedBy>
  <dcterms:modified xsi:type="dcterms:W3CDTF">2026-05-19T11:30:04Z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eyJoZGlkIjoiOWU2MTMzYjA0OTUxNGUxODRjZjY1NDQ2ZjBlNDI5ZmUifQ==</vt:lpwstr>
  </property>
  <property fmtid="{D5CDD505-2E9C-101B-9397-08002B2CF9AE}" pid="4" name="ICV">
    <vt:lpwstr>123929FDEEDA44F2888BB30DF3DA0C73_13</vt:lpwstr>
  </property>
</Properties>
</file>