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B6B80">
      <w:pPr>
        <w:spacing w:line="245" w:lineRule="auto"/>
        <w:rPr>
          <w:rFonts w:ascii="Arial"/>
          <w:sz w:val="21"/>
        </w:rPr>
      </w:pPr>
    </w:p>
    <w:p w14:paraId="33D771AA">
      <w:pPr>
        <w:spacing w:before="101" w:line="230" w:lineRule="auto"/>
        <w:ind w:left="2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5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1</w:t>
      </w:r>
    </w:p>
    <w:p w14:paraId="43212949">
      <w:pPr>
        <w:spacing w:line="441" w:lineRule="auto"/>
        <w:rPr>
          <w:rFonts w:ascii="Arial"/>
          <w:sz w:val="21"/>
        </w:rPr>
      </w:pPr>
    </w:p>
    <w:p w14:paraId="1AE8F3ED">
      <w:pPr>
        <w:spacing w:before="166" w:line="239" w:lineRule="auto"/>
        <w:ind w:left="504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5"/>
          <w:sz w:val="43"/>
          <w:szCs w:val="43"/>
        </w:rPr>
        <w:t>广西交通运输行业智库研究课题申报指南</w:t>
      </w:r>
    </w:p>
    <w:p w14:paraId="194D08D3">
      <w:pPr>
        <w:spacing w:line="476" w:lineRule="auto"/>
        <w:rPr>
          <w:rFonts w:ascii="Arial"/>
          <w:sz w:val="21"/>
        </w:rPr>
      </w:pPr>
    </w:p>
    <w:p w14:paraId="4A99AE3C">
      <w:pPr>
        <w:pStyle w:val="2"/>
        <w:spacing w:before="180" w:line="219" w:lineRule="auto"/>
        <w:ind w:left="62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5"/>
          <w:sz w:val="32"/>
          <w:szCs w:val="32"/>
        </w:rPr>
        <w:t>（一）完善现代化综合交通运输体系研究。</w:t>
      </w:r>
    </w:p>
    <w:p w14:paraId="2BBD0EFA">
      <w:pPr>
        <w:pStyle w:val="2"/>
        <w:spacing w:before="194" w:line="219" w:lineRule="auto"/>
        <w:ind w:left="62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5"/>
          <w:sz w:val="32"/>
          <w:szCs w:val="32"/>
        </w:rPr>
        <w:t>（二）交通运输服务区域重大战略实施研究。</w:t>
      </w:r>
    </w:p>
    <w:p w14:paraId="32D2DDAE">
      <w:pPr>
        <w:pStyle w:val="2"/>
        <w:spacing w:before="193" w:line="276" w:lineRule="auto"/>
        <w:ind w:left="8" w:right="60" w:firstLine="61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7"/>
          <w:sz w:val="32"/>
          <w:szCs w:val="32"/>
        </w:rPr>
        <w:t>（三）交通运输一体化融合、安全化提升、数智</w:t>
      </w:r>
      <w:r>
        <w:rPr>
          <w:rFonts w:hint="eastAsia" w:ascii="仿宋" w:hAnsi="仿宋" w:eastAsia="仿宋" w:cs="仿宋"/>
          <w:spacing w:val="6"/>
          <w:sz w:val="32"/>
          <w:szCs w:val="32"/>
        </w:rPr>
        <w:t>化升级、绿</w:t>
      </w:r>
      <w:r>
        <w:rPr>
          <w:rFonts w:hint="eastAsia" w:ascii="仿宋" w:hAnsi="仿宋" w:eastAsia="仿宋" w:cs="仿宋"/>
          <w:spacing w:val="3"/>
          <w:sz w:val="32"/>
          <w:szCs w:val="32"/>
        </w:rPr>
        <w:t>色化转型研究。</w:t>
      </w:r>
    </w:p>
    <w:p w14:paraId="3B3538FB">
      <w:pPr>
        <w:pStyle w:val="2"/>
        <w:spacing w:before="194" w:line="276" w:lineRule="auto"/>
        <w:ind w:left="10" w:right="60" w:firstLine="61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7"/>
          <w:sz w:val="32"/>
          <w:szCs w:val="32"/>
        </w:rPr>
        <w:t>（四）交通运输跨区域统筹布局、跨方式一体衔</w:t>
      </w:r>
      <w:r>
        <w:rPr>
          <w:rFonts w:hint="eastAsia" w:ascii="仿宋" w:hAnsi="仿宋" w:eastAsia="仿宋" w:cs="仿宋"/>
          <w:spacing w:val="6"/>
          <w:sz w:val="32"/>
          <w:szCs w:val="32"/>
        </w:rPr>
        <w:t>接、跨领域</w:t>
      </w:r>
      <w:r>
        <w:rPr>
          <w:rFonts w:hint="eastAsia" w:ascii="仿宋" w:hAnsi="仿宋" w:eastAsia="仿宋" w:cs="仿宋"/>
          <w:spacing w:val="2"/>
          <w:sz w:val="32"/>
          <w:szCs w:val="32"/>
        </w:rPr>
        <w:t>深度融合研究。</w:t>
      </w:r>
    </w:p>
    <w:p w14:paraId="143E4584">
      <w:pPr>
        <w:pStyle w:val="2"/>
        <w:spacing w:before="190" w:line="218" w:lineRule="auto"/>
        <w:ind w:left="62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5"/>
          <w:sz w:val="32"/>
          <w:szCs w:val="32"/>
        </w:rPr>
        <w:t>（五）交通运输对重点产业发展支撑研究。</w:t>
      </w:r>
    </w:p>
    <w:p w14:paraId="50A386D8">
      <w:pPr>
        <w:pStyle w:val="2"/>
        <w:spacing w:before="195" w:line="219" w:lineRule="auto"/>
        <w:ind w:left="62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6"/>
          <w:sz w:val="32"/>
          <w:szCs w:val="32"/>
        </w:rPr>
        <w:t>（六）与人口结构和流动趋势相适应的运输服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务体系研究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。</w:t>
      </w:r>
    </w:p>
    <w:p w14:paraId="381444A1">
      <w:pPr>
        <w:pStyle w:val="2"/>
        <w:spacing w:before="189" w:line="220" w:lineRule="auto"/>
        <w:ind w:left="62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5"/>
          <w:sz w:val="32"/>
          <w:szCs w:val="32"/>
        </w:rPr>
        <w:t>（七）交通运输理论创新研究。</w:t>
      </w:r>
    </w:p>
    <w:p w14:paraId="45853E9B">
      <w:pPr>
        <w:pStyle w:val="2"/>
        <w:spacing w:before="195" w:line="333" w:lineRule="auto"/>
        <w:ind w:left="11" w:right="55" w:firstLine="671"/>
        <w:jc w:val="both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4"/>
          <w:sz w:val="32"/>
          <w:szCs w:val="32"/>
        </w:rPr>
        <w:t>申报单位的研究选题应坚持正确的政治方向、价值取向和研</w:t>
      </w:r>
      <w:r>
        <w:rPr>
          <w:rFonts w:hint="eastAsia" w:ascii="仿宋" w:hAnsi="仿宋" w:eastAsia="仿宋" w:cs="仿宋"/>
          <w:spacing w:val="6"/>
          <w:sz w:val="32"/>
          <w:szCs w:val="32"/>
        </w:rPr>
        <w:t>究导向，避免宽泛笼统、偏大求全，以小切口做大文章，推动解决行业改革发展存在的制约问题。纯技术性研究类课题不在本次</w:t>
      </w:r>
      <w:r>
        <w:rPr>
          <w:rFonts w:hint="eastAsia" w:ascii="仿宋" w:hAnsi="仿宋" w:eastAsia="仿宋" w:cs="仿宋"/>
          <w:spacing w:val="3"/>
          <w:sz w:val="32"/>
          <w:szCs w:val="32"/>
        </w:rPr>
        <w:t>申报立项范围内。</w:t>
      </w:r>
    </w:p>
    <w:p w14:paraId="667E62CD">
      <w:pPr>
        <w:spacing w:line="246" w:lineRule="auto"/>
        <w:rPr>
          <w:rFonts w:ascii="Arial"/>
          <w:sz w:val="21"/>
        </w:rPr>
      </w:pPr>
    </w:p>
    <w:p w14:paraId="766F3DF7">
      <w:pPr>
        <w:spacing w:line="246" w:lineRule="auto"/>
        <w:rPr>
          <w:rFonts w:ascii="Arial"/>
          <w:sz w:val="21"/>
        </w:rPr>
      </w:pPr>
    </w:p>
    <w:p w14:paraId="0FCE25FC">
      <w:pPr>
        <w:spacing w:line="246" w:lineRule="auto"/>
        <w:rPr>
          <w:rFonts w:ascii="Arial"/>
          <w:sz w:val="21"/>
        </w:rPr>
      </w:pPr>
    </w:p>
    <w:sectPr>
      <w:footerReference r:id="rId5" w:type="default"/>
      <w:pgSz w:w="11906" w:h="16838"/>
      <w:pgMar w:top="1431" w:right="1436" w:bottom="2107" w:left="1592" w:header="0" w:footer="174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5B0C5">
    <w:pPr>
      <w:spacing w:line="233" w:lineRule="auto"/>
      <w:ind w:right="2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—</w:t>
    </w:r>
    <w:r>
      <w:rPr>
        <w:rFonts w:ascii="宋体" w:hAnsi="宋体" w:eastAsia="宋体" w:cs="宋体"/>
        <w:spacing w:val="23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5285D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583</Words>
  <Characters>607</Characters>
  <TotalTime>2</TotalTime>
  <ScaleCrop>false</ScaleCrop>
  <LinksUpToDate>false</LinksUpToDate>
  <CharactersWithSpaces>640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2026-02-02T15:13:00Z</dcterms:created>
  <dc:creator>李灿英</dc:creator>
  <cp:lastModifiedBy>项婷婷</cp:lastModifiedBy>
  <dcterms:modified xsi:type="dcterms:W3CDTF">2026-02-02T13:43:06Z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2026-02-02T21:38:30Z</vt:filetime>
  </property>
  <property fmtid="{D5CDD505-2E9C-101B-9397-08002B2CF9AE}" pid="4" name="KSOTemplateDocerSaveRecord">
    <vt:lpwstr>eyJoZGlkIjoiNWQ2NDg2NzRhMDI0MzUzZTNiMjE4NzlkODJkOTYxYWYiLCJ1c2VySWQiOiI2NDI3NjQ4MDcifQ==</vt:lpwstr>
  </property>
  <property fmtid="{D5CDD505-2E9C-101B-9397-08002B2CF9AE}" pid="5" name="KSOProductBuildVer">
    <vt:lpwstr>2052-12.1.0.24657</vt:lpwstr>
  </property>
  <property fmtid="{D5CDD505-2E9C-101B-9397-08002B2CF9AE}" pid="6" name="ICV">
    <vt:lpwstr>03256C5877864CEBB75FC20DB2DFBE42_12</vt:lpwstr>
  </property>
</Properties>
</file>