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AD37C">
      <w:pPr>
        <w:spacing w:line="560" w:lineRule="exact"/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  <w:t>附件5</w:t>
      </w:r>
    </w:p>
    <w:p w14:paraId="483738B1">
      <w:pPr>
        <w:spacing w:line="560" w:lineRule="exact"/>
        <w:rPr>
          <w:rFonts w:ascii="方正仿宋简体"/>
          <w:sz w:val="28"/>
          <w:szCs w:val="28"/>
        </w:rPr>
      </w:pPr>
    </w:p>
    <w:p w14:paraId="13F026DB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val="en-US" w:eastAsia="zh-CN"/>
        </w:rPr>
        <w:t>广西师范大学2026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  <w:t>年停招专业名单</w:t>
      </w:r>
    </w:p>
    <w:p w14:paraId="42187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</w:pPr>
    </w:p>
    <w:p w14:paraId="394CFC6D">
      <w:pPr>
        <w:spacing w:line="500" w:lineRule="exact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学院（部）</w:t>
      </w:r>
      <w:r>
        <w:rPr>
          <w:rFonts w:hint="eastAsia" w:ascii="宋体" w:hAnsi="宋体"/>
          <w:sz w:val="24"/>
        </w:rPr>
        <w:t>名称：（</w:t>
      </w:r>
      <w:r>
        <w:rPr>
          <w:rFonts w:hint="eastAsia" w:ascii="宋体" w:hAnsi="宋体"/>
          <w:sz w:val="24"/>
          <w:lang w:val="en-US" w:eastAsia="zh-CN"/>
        </w:rPr>
        <w:t>加盖公章</w:t>
      </w:r>
      <w:r>
        <w:rPr>
          <w:rFonts w:hint="eastAsia" w:ascii="宋体" w:hAnsi="宋体"/>
          <w:sz w:val="24"/>
        </w:rPr>
        <w:t xml:space="preserve">） 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   主要负责人签字：</w:t>
      </w:r>
      <w:r>
        <w:rPr>
          <w:rFonts w:hint="eastAsia" w:ascii="宋体" w:hAnsi="宋体"/>
          <w:sz w:val="24"/>
        </w:rPr>
        <w:t xml:space="preserve">      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 xml:space="preserve">年   月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日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110"/>
        <w:gridCol w:w="1583"/>
        <w:gridCol w:w="1728"/>
        <w:gridCol w:w="2330"/>
      </w:tblGrid>
      <w:tr w14:paraId="297E0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069FD45A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  <w:r>
              <w:rPr>
                <w:rFonts w:hint="eastAsia" w:ascii="方正仿宋简体"/>
                <w:sz w:val="24"/>
              </w:rPr>
              <w:t>序号</w:t>
            </w:r>
          </w:p>
        </w:tc>
        <w:tc>
          <w:tcPr>
            <w:tcW w:w="1209" w:type="pct"/>
            <w:noWrap w:val="0"/>
            <w:vAlign w:val="center"/>
          </w:tcPr>
          <w:p w14:paraId="3088E424">
            <w:pPr>
              <w:spacing w:line="360" w:lineRule="exact"/>
              <w:jc w:val="center"/>
              <w:rPr>
                <w:rFonts w:hint="eastAsia" w:ascii="方正仿宋简体"/>
                <w:sz w:val="24"/>
              </w:rPr>
            </w:pPr>
            <w:r>
              <w:rPr>
                <w:rFonts w:hint="eastAsia" w:ascii="方正仿宋简体"/>
                <w:sz w:val="24"/>
              </w:rPr>
              <w:t>学校</w:t>
            </w:r>
            <w:r>
              <w:rPr>
                <w:rFonts w:ascii="方正仿宋简体"/>
                <w:sz w:val="24"/>
              </w:rPr>
              <w:t>名称</w:t>
            </w:r>
          </w:p>
        </w:tc>
        <w:tc>
          <w:tcPr>
            <w:tcW w:w="907" w:type="pct"/>
            <w:noWrap w:val="0"/>
            <w:vAlign w:val="center"/>
          </w:tcPr>
          <w:p w14:paraId="3ACCF5E3">
            <w:pPr>
              <w:spacing w:line="360" w:lineRule="exact"/>
              <w:jc w:val="center"/>
              <w:rPr>
                <w:rFonts w:hint="eastAsia" w:ascii="方正仿宋简体"/>
                <w:sz w:val="24"/>
              </w:rPr>
            </w:pPr>
            <w:r>
              <w:rPr>
                <w:rFonts w:hint="eastAsia" w:ascii="方正仿宋简体"/>
                <w:sz w:val="24"/>
              </w:rPr>
              <w:t>专业代码</w:t>
            </w:r>
          </w:p>
        </w:tc>
        <w:tc>
          <w:tcPr>
            <w:tcW w:w="990" w:type="pct"/>
            <w:noWrap w:val="0"/>
            <w:vAlign w:val="center"/>
          </w:tcPr>
          <w:p w14:paraId="6720FC07">
            <w:pPr>
              <w:spacing w:line="360" w:lineRule="exact"/>
              <w:jc w:val="center"/>
              <w:rPr>
                <w:rFonts w:hint="eastAsia" w:ascii="方正仿宋简体"/>
                <w:sz w:val="24"/>
              </w:rPr>
            </w:pPr>
            <w:r>
              <w:rPr>
                <w:rFonts w:hint="eastAsia" w:ascii="方正仿宋简体"/>
                <w:sz w:val="24"/>
              </w:rPr>
              <w:t>专业名称</w:t>
            </w:r>
          </w:p>
        </w:tc>
        <w:tc>
          <w:tcPr>
            <w:tcW w:w="1335" w:type="pct"/>
            <w:noWrap w:val="0"/>
            <w:vAlign w:val="center"/>
          </w:tcPr>
          <w:p w14:paraId="52195574">
            <w:pPr>
              <w:spacing w:line="360" w:lineRule="exact"/>
              <w:jc w:val="center"/>
              <w:rPr>
                <w:rFonts w:hint="eastAsia" w:ascii="方正仿宋简体"/>
                <w:sz w:val="24"/>
              </w:rPr>
            </w:pPr>
            <w:r>
              <w:rPr>
                <w:rFonts w:hint="eastAsia" w:ascii="方正仿宋简体"/>
                <w:sz w:val="24"/>
              </w:rPr>
              <w:t>停招</w:t>
            </w:r>
            <w:r>
              <w:rPr>
                <w:rFonts w:ascii="方正仿宋简体"/>
                <w:sz w:val="24"/>
              </w:rPr>
              <w:t>原因</w:t>
            </w:r>
          </w:p>
        </w:tc>
      </w:tr>
      <w:tr w14:paraId="7BDEE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4EE7BE9B">
            <w:pPr>
              <w:spacing w:line="360" w:lineRule="exact"/>
              <w:jc w:val="center"/>
              <w:rPr>
                <w:rFonts w:hint="eastAsia" w:ascii="方正仿宋简体"/>
                <w:sz w:val="24"/>
                <w:lang w:val="en-US" w:eastAsia="zh-CN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54FF17BB">
            <w:pPr>
              <w:spacing w:line="360" w:lineRule="exact"/>
              <w:jc w:val="center"/>
              <w:rPr>
                <w:rFonts w:hint="eastAsia" w:ascii="方正仿宋简体"/>
                <w:sz w:val="24"/>
                <w:lang w:val="en-US" w:eastAsia="zh-CN"/>
              </w:rPr>
            </w:pPr>
          </w:p>
        </w:tc>
        <w:tc>
          <w:tcPr>
            <w:tcW w:w="907" w:type="pct"/>
            <w:noWrap w:val="0"/>
            <w:vAlign w:val="center"/>
          </w:tcPr>
          <w:p w14:paraId="6562F4A6">
            <w:pPr>
              <w:spacing w:line="360" w:lineRule="exact"/>
              <w:jc w:val="center"/>
              <w:rPr>
                <w:rFonts w:hint="eastAsia"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32CF8D7C">
            <w:pPr>
              <w:spacing w:line="360" w:lineRule="exact"/>
              <w:jc w:val="center"/>
              <w:rPr>
                <w:rFonts w:hint="eastAsia" w:ascii="方正仿宋简体"/>
                <w:sz w:val="24"/>
                <w:lang w:val="en-US" w:eastAsia="zh-CN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3B8F0DD7">
            <w:pPr>
              <w:spacing w:line="360" w:lineRule="exact"/>
              <w:jc w:val="center"/>
              <w:rPr>
                <w:rFonts w:hint="eastAsia" w:ascii="方正仿宋简体"/>
                <w:sz w:val="24"/>
                <w:lang w:val="en-US" w:eastAsia="zh-CN"/>
              </w:rPr>
            </w:pPr>
          </w:p>
        </w:tc>
      </w:tr>
      <w:tr w14:paraId="531B6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0C2A8793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5AA5C36A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07" w:type="pct"/>
            <w:noWrap w:val="0"/>
            <w:vAlign w:val="center"/>
          </w:tcPr>
          <w:p w14:paraId="40F8D0F6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06D51B06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6280DF55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</w:tr>
      <w:tr w14:paraId="1EF63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1F066727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4B4D3E44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07" w:type="pct"/>
            <w:noWrap w:val="0"/>
            <w:vAlign w:val="center"/>
          </w:tcPr>
          <w:p w14:paraId="5A7F83A4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75FEC642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0214033A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</w:tr>
      <w:tr w14:paraId="2FBB6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68ABFAFC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100667FA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07" w:type="pct"/>
            <w:noWrap w:val="0"/>
            <w:vAlign w:val="center"/>
          </w:tcPr>
          <w:p w14:paraId="6D6E4FAF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67C7FFD9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6E1766CC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</w:tr>
      <w:tr w14:paraId="6EB44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06598F98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4C60687D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07" w:type="pct"/>
            <w:noWrap w:val="0"/>
            <w:vAlign w:val="center"/>
          </w:tcPr>
          <w:p w14:paraId="4BC8F4EE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48C0889B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569CAA21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</w:tr>
      <w:tr w14:paraId="65624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02737C3D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4C2D17C9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07" w:type="pct"/>
            <w:noWrap w:val="0"/>
            <w:vAlign w:val="center"/>
          </w:tcPr>
          <w:p w14:paraId="1C271154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2FD84A67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63F459F3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</w:tr>
      <w:tr w14:paraId="7391D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6" w:type="pct"/>
            <w:noWrap w:val="0"/>
            <w:vAlign w:val="center"/>
          </w:tcPr>
          <w:p w14:paraId="36435264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209" w:type="pct"/>
            <w:noWrap w:val="0"/>
            <w:vAlign w:val="center"/>
          </w:tcPr>
          <w:p w14:paraId="2298B138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07" w:type="pct"/>
            <w:noWrap w:val="0"/>
            <w:vAlign w:val="center"/>
          </w:tcPr>
          <w:p w14:paraId="477C3C06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990" w:type="pct"/>
            <w:noWrap w:val="0"/>
            <w:vAlign w:val="center"/>
          </w:tcPr>
          <w:p w14:paraId="6A13BE36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  <w:tc>
          <w:tcPr>
            <w:tcW w:w="1335" w:type="pct"/>
            <w:noWrap w:val="0"/>
            <w:vAlign w:val="center"/>
          </w:tcPr>
          <w:p w14:paraId="49422A64">
            <w:pPr>
              <w:spacing w:line="360" w:lineRule="exact"/>
              <w:jc w:val="center"/>
              <w:rPr>
                <w:rFonts w:ascii="方正仿宋简体"/>
                <w:sz w:val="24"/>
              </w:rPr>
            </w:pPr>
          </w:p>
        </w:tc>
      </w:tr>
    </w:tbl>
    <w:p w14:paraId="6C2BB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注：</w:t>
      </w:r>
    </w:p>
    <w:p w14:paraId="17849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1.本表所指停招专业是指学校已获批开设，但在2026年未安排招生计划。</w:t>
      </w:r>
    </w:p>
    <w:p w14:paraId="34C92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2.停招原因：包括招生情况</w:t>
      </w:r>
      <w:bookmarkStart w:id="0" w:name="_GoBack"/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不佳，就业困难，教学条件不足，调整专业结构，隔年招生等等，根据实际情况填写。</w:t>
      </w:r>
    </w:p>
    <w:p w14:paraId="5F49F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3.本表仅填写停招专业，不涉及专业方向，如某专业下设若干专业方向，其中个别专业方向停招，但其他专业方向继续招生，该专业未停招，不在本表统计范围。</w:t>
      </w:r>
    </w:p>
    <w:p w14:paraId="6FD4F57F">
      <w:pPr>
        <w:rPr>
          <w:rFonts w:hint="eastAsia"/>
          <w:lang w:val="en-US" w:eastAsia="zh-CN"/>
        </w:rPr>
      </w:pPr>
    </w:p>
    <w:bookmarkEnd w:id="0"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E23358-64AE-496B-9D0A-ED1DDF72DC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00"/>
    <w:family w:val="script"/>
    <w:pitch w:val="default"/>
    <w:sig w:usb0="00000000" w:usb1="00000000" w:usb2="00000000" w:usb3="00000000" w:csb0="00040000" w:csb1="00000000"/>
    <w:embedRegular r:id="rId2" w:fontKey="{C8F9E1B8-0E72-43E7-BFAA-4EAA4278280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CB49C64-DC22-4E47-BCBB-F2838AA1191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064CE1E-3502-4461-BF30-D88A7D3600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1AB7"/>
    <w:rsid w:val="05465FAD"/>
    <w:rsid w:val="068764F6"/>
    <w:rsid w:val="0C802428"/>
    <w:rsid w:val="112B7CAC"/>
    <w:rsid w:val="12D270D2"/>
    <w:rsid w:val="19CE1DA1"/>
    <w:rsid w:val="21F10278"/>
    <w:rsid w:val="22C24A6D"/>
    <w:rsid w:val="23A96E78"/>
    <w:rsid w:val="28EF0A0B"/>
    <w:rsid w:val="2D6F37A1"/>
    <w:rsid w:val="2DC21DC5"/>
    <w:rsid w:val="344F68DF"/>
    <w:rsid w:val="358336E8"/>
    <w:rsid w:val="38FE3852"/>
    <w:rsid w:val="39AA35E8"/>
    <w:rsid w:val="39D215E2"/>
    <w:rsid w:val="3C526A0A"/>
    <w:rsid w:val="3D1A67FB"/>
    <w:rsid w:val="43345084"/>
    <w:rsid w:val="4F0973FC"/>
    <w:rsid w:val="4FBA154E"/>
    <w:rsid w:val="56DF0904"/>
    <w:rsid w:val="59D32AE1"/>
    <w:rsid w:val="5ADA7E9F"/>
    <w:rsid w:val="60391AB7"/>
    <w:rsid w:val="61290C58"/>
    <w:rsid w:val="63783BC0"/>
    <w:rsid w:val="68AE298B"/>
    <w:rsid w:val="71970440"/>
    <w:rsid w:val="75C81974"/>
    <w:rsid w:val="791F0D44"/>
    <w:rsid w:val="7964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223</Characters>
  <Lines>0</Lines>
  <Paragraphs>0</Paragraphs>
  <TotalTime>1</TotalTime>
  <ScaleCrop>false</ScaleCrop>
  <LinksUpToDate>false</LinksUpToDate>
  <CharactersWithSpaces>249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2025-03-24T01:48:00Z</dcterms:created>
  <dc:creator>四七加七</dc:creator>
  <cp:lastModifiedBy>后海不是海</cp:lastModifiedBy>
  <dcterms:modified xsi:type="dcterms:W3CDTF">2026-05-06T01:00:47Z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AB4EF12C8D374387965A0EC1F02A44CC_13</vt:lpwstr>
  </property>
  <property fmtid="{D5CDD505-2E9C-101B-9397-08002B2CF9AE}" pid="4" name="KSOTemplateDocerSaveRecord">
    <vt:lpwstr>eyJoZGlkIjoiYmMzZGYxZTM0YWQwZWVmMmIxZTUyZTM4MDQ2MzJmNzEiLCJ1c2VySWQiOiIyNjIyMzQyOTIifQ==</vt:lpwstr>
  </property>
</Properties>
</file>