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4FE001">
      <w:pPr>
        <w:keepNext w:val="0"/>
        <w:keepLines w:val="0"/>
        <w:pageBreakBefore w:val="0"/>
        <w:kinsoku/>
        <w:wordWrap/>
        <w:overflowPunct/>
        <w:topLinePunct w:val="0"/>
        <w:autoSpaceDE/>
        <w:autoSpaceDN/>
        <w:bidi w:val="0"/>
        <w:adjustRightInd/>
        <w:snapToGrid/>
        <w:jc w:val="both"/>
        <w:textAlignment w:val="auto"/>
        <w:rPr>
          <w:rFonts w:hint="default" w:ascii="Times New Roman" w:hAnsi="Times New Roman" w:eastAsia="黑体" w:cs="Times New Roman"/>
          <w:b w:val="0"/>
          <w:bCs/>
          <w:snapToGrid/>
          <w:color w:val="auto"/>
          <w:spacing w:val="0"/>
          <w:w w:val="100"/>
          <w:kern w:val="0"/>
          <w:position w:val="0"/>
          <w:sz w:val="32"/>
          <w:szCs w:val="32"/>
          <w:u w:val="none" w:color="auto"/>
          <w:vertAlign w:val="baseline"/>
          <w:lang w:val="en-US" w:eastAsia="zh-CN"/>
        </w:rPr>
      </w:pPr>
      <w:r>
        <w:rPr>
          <w:rFonts w:hint="default" w:ascii="Times New Roman" w:hAnsi="Times New Roman" w:eastAsia="黑体" w:cs="Times New Roman"/>
          <w:b w:val="0"/>
          <w:bCs/>
          <w:snapToGrid/>
          <w:color w:val="auto"/>
          <w:spacing w:val="0"/>
          <w:w w:val="100"/>
          <w:kern w:val="0"/>
          <w:position w:val="0"/>
          <w:sz w:val="32"/>
          <w:szCs w:val="32"/>
          <w:u w:val="none" w:color="auto"/>
          <w:vertAlign w:val="baseline"/>
          <w:lang w:val="en-US" w:eastAsia="zh-CN"/>
        </w:rPr>
        <w:t>附件1</w:t>
      </w:r>
    </w:p>
    <w:p w14:paraId="6027175D">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2026年广西社科界智库一般课题选题</w:t>
      </w:r>
    </w:p>
    <w:p w14:paraId="61D9BB95">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kern w:val="0"/>
          <w:sz w:val="44"/>
          <w:szCs w:val="44"/>
          <w:lang w:val="en-US" w:eastAsia="zh-CN" w:bidi="ar"/>
        </w:rPr>
      </w:pPr>
      <w:r>
        <w:rPr>
          <w:rFonts w:hint="default" w:ascii="Times New Roman" w:hAnsi="Times New Roman" w:eastAsia="方正小标宋简体" w:cs="Times New Roman"/>
          <w:kern w:val="0"/>
          <w:sz w:val="44"/>
          <w:szCs w:val="44"/>
          <w:lang w:val="en-US" w:eastAsia="zh-CN" w:bidi="ar"/>
        </w:rPr>
        <w:t>参考方向</w:t>
      </w:r>
    </w:p>
    <w:p w14:paraId="43C5C477">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default" w:ascii="Times New Roman" w:hAnsi="Times New Roman" w:eastAsia="方正小标宋简体" w:cs="Times New Roman"/>
          <w:kern w:val="0"/>
          <w:sz w:val="44"/>
          <w:szCs w:val="44"/>
          <w:lang w:val="en-US" w:eastAsia="zh-CN" w:bidi="ar"/>
        </w:rPr>
      </w:pPr>
    </w:p>
    <w:p w14:paraId="425990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kern w:val="0"/>
          <w:sz w:val="32"/>
          <w:szCs w:val="32"/>
          <w:lang w:val="en-US" w:eastAsia="zh-CN" w:bidi="ar"/>
        </w:rPr>
        <w:t xml:space="preserve">一、理论热点聚焦 </w:t>
      </w:r>
      <w:bookmarkStart w:id="0" w:name="_GoBack"/>
      <w:bookmarkEnd w:id="0"/>
    </w:p>
    <w:p w14:paraId="3706EEA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kern w:val="0"/>
          <w:sz w:val="32"/>
          <w:szCs w:val="32"/>
          <w:lang w:val="en-US" w:eastAsia="zh-CN" w:bidi="ar"/>
        </w:rPr>
        <w:t>1.习近平新时代中国特色社会主义思想的科学体系、鲜明特质和重大意义研究</w:t>
      </w:r>
    </w:p>
    <w:p w14:paraId="546FD85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2.习近平总书记关于广西工作论述重要要求的理论内涵及其实践要求研究</w:t>
      </w:r>
    </w:p>
    <w:p w14:paraId="707F5EE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3.习近平文化思想的广西实践研究</w:t>
      </w:r>
    </w:p>
    <w:p w14:paraId="0C67062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4.习近平生态文明思想的广西实践研究</w:t>
      </w:r>
    </w:p>
    <w:p w14:paraId="37B7118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5.习近平经济思想的广西实践研究</w:t>
      </w:r>
    </w:p>
    <w:p w14:paraId="2820A9AE">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6.习近平法治思想的广西实践研究</w:t>
      </w:r>
    </w:p>
    <w:p w14:paraId="201AAB8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7.党的二十届四中全会精神研究阐释</w:t>
      </w:r>
    </w:p>
    <w:p w14:paraId="5587F1E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 xml:space="preserve">8.新质生产力的理论内涵、实践要求与政策体系研究 </w:t>
      </w:r>
    </w:p>
    <w:p w14:paraId="1F41B5D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9.高水平社会主义市场经济体制的内涵、特征与建设路径研究</w:t>
      </w:r>
    </w:p>
    <w:p w14:paraId="625D3B4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 xml:space="preserve">10.中国式现代化五大特征的科学社会主义学理阐释 </w:t>
      </w:r>
    </w:p>
    <w:p w14:paraId="3229873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 xml:space="preserve">11.数字生产力与生产关系的变革研究 </w:t>
      </w:r>
    </w:p>
    <w:p w14:paraId="14C6D92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 xml:space="preserve">12.人工智能与科学社会主义发展研究 </w:t>
      </w:r>
    </w:p>
    <w:p w14:paraId="326C93A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13.中国式现代化的超越性及其文明意义研究</w:t>
      </w:r>
    </w:p>
    <w:p w14:paraId="2A07AE9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14.数智时代的意识形态安全与网络治理研究</w:t>
      </w:r>
    </w:p>
    <w:p w14:paraId="3DF4D9B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15.人类命运共同体理念的国际传播与全球治理变革</w:t>
      </w:r>
    </w:p>
    <w:p w14:paraId="034C6D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b w:val="0"/>
          <w:bCs w:val="0"/>
          <w:kern w:val="0"/>
          <w:sz w:val="32"/>
          <w:szCs w:val="32"/>
          <w:lang w:val="en-US" w:eastAsia="zh-CN" w:bidi="ar"/>
        </w:rPr>
      </w:pPr>
      <w:r>
        <w:rPr>
          <w:rFonts w:hint="default" w:ascii="Times New Roman" w:hAnsi="Times New Roman" w:eastAsia="黑体" w:cs="Times New Roman"/>
          <w:b w:val="0"/>
          <w:bCs w:val="0"/>
          <w:kern w:val="0"/>
          <w:sz w:val="32"/>
          <w:szCs w:val="32"/>
          <w:lang w:val="en-US" w:eastAsia="zh-CN" w:bidi="ar"/>
        </w:rPr>
        <w:t>二、经济与产业发展</w:t>
      </w:r>
    </w:p>
    <w:p w14:paraId="3588411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16.广西制造业十大现代化支柱产业（任选其一）高质量发展研究</w:t>
      </w:r>
    </w:p>
    <w:p w14:paraId="671BE1D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17.广西现代物流业提质增效研究</w:t>
      </w:r>
    </w:p>
    <w:p w14:paraId="26BED94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18.广西提升跨境金融服务质效研究</w:t>
      </w:r>
    </w:p>
    <w:p w14:paraId="7D6B6AF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19.丰富融资方式推动国有资本保值增值研究</w:t>
      </w:r>
    </w:p>
    <w:p w14:paraId="2A881E4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20.盘活用好地方低效用地、闲置房产、存量基础设施等研究</w:t>
      </w:r>
    </w:p>
    <w:p w14:paraId="1957827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21.广西提升数字贸易能力研究</w:t>
      </w:r>
    </w:p>
    <w:p w14:paraId="4F3A0E5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22.广西培育面向东盟的大宗商品交易市场研究</w:t>
      </w:r>
    </w:p>
    <w:p w14:paraId="5B00441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23.提升中越跨境经济合作水平研究</w:t>
      </w:r>
    </w:p>
    <w:p w14:paraId="5B92A83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24.广西现代文娱产业高质量发展研究</w:t>
      </w:r>
    </w:p>
    <w:p w14:paraId="4DF51FF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25.广西水果产业提质升级研究</w:t>
      </w:r>
    </w:p>
    <w:p w14:paraId="23C130B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26.广西加快林下经济高质量发展研究</w:t>
      </w:r>
    </w:p>
    <w:p w14:paraId="768A229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宋体" w:cs="Times New Roman"/>
          <w:kern w:val="0"/>
          <w:sz w:val="24"/>
          <w:szCs w:val="24"/>
          <w:lang w:val="en-US" w:eastAsia="zh-CN" w:bidi="ar"/>
        </w:rPr>
      </w:pPr>
      <w:r>
        <w:rPr>
          <w:rFonts w:hint="default" w:ascii="Times New Roman" w:hAnsi="Times New Roman" w:eastAsia="仿宋_GB2312" w:cs="Times New Roman"/>
          <w:kern w:val="0"/>
          <w:sz w:val="32"/>
          <w:szCs w:val="32"/>
          <w:lang w:val="en-US" w:eastAsia="zh-CN" w:bidi="ar"/>
        </w:rPr>
        <w:t>27.广西临港工业高质量发展研究</w:t>
      </w:r>
    </w:p>
    <w:p w14:paraId="2FA1051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28.广西加快建设国家级海洋牧场研究</w:t>
      </w:r>
    </w:p>
    <w:p w14:paraId="2B078E7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29.广西加快建设国家综合能源安全保障区研究</w:t>
      </w:r>
    </w:p>
    <w:p w14:paraId="25C5254E">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30.广西拓展入境消费研究</w:t>
      </w:r>
    </w:p>
    <w:p w14:paraId="5180894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31.广西提升自贸区制度创新与集成研究</w:t>
      </w:r>
    </w:p>
    <w:p w14:paraId="592A5F2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32.广西建立健全产业发展跨境合作机制研究</w:t>
      </w:r>
    </w:p>
    <w:p w14:paraId="740A7D1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33.高品质打造平陆运河科创走廊研究</w:t>
      </w:r>
    </w:p>
    <w:p w14:paraId="7364748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34.平陆运河经济带与珠江</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西江经济带联动发展研究</w:t>
      </w:r>
    </w:p>
    <w:p w14:paraId="6C50BD6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kern w:val="0"/>
          <w:sz w:val="32"/>
          <w:szCs w:val="32"/>
          <w:lang w:val="en-US" w:eastAsia="zh-CN" w:bidi="ar"/>
        </w:rPr>
        <w:t>35.广西有色金属产业高质量发展研究</w:t>
      </w:r>
    </w:p>
    <w:p w14:paraId="0658251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36.广西工业人形机器人产业化路径与“东盟应用”模式研究</w:t>
      </w:r>
    </w:p>
    <w:p w14:paraId="7C103E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b w:val="0"/>
          <w:bCs w:val="0"/>
          <w:kern w:val="0"/>
          <w:sz w:val="32"/>
          <w:szCs w:val="32"/>
          <w:lang w:val="en-US" w:eastAsia="zh-CN" w:bidi="ar"/>
        </w:rPr>
      </w:pPr>
      <w:r>
        <w:rPr>
          <w:rFonts w:hint="default" w:ascii="Times New Roman" w:hAnsi="Times New Roman" w:eastAsia="黑体" w:cs="Times New Roman"/>
          <w:b w:val="0"/>
          <w:bCs w:val="0"/>
          <w:kern w:val="0"/>
          <w:sz w:val="32"/>
          <w:szCs w:val="32"/>
          <w:lang w:val="en-US" w:eastAsia="zh-CN" w:bidi="ar"/>
        </w:rPr>
        <w:t>三、人工智能与科技</w:t>
      </w:r>
    </w:p>
    <w:p w14:paraId="375AC76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37.“广西集成”模式下的中国</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b w:val="0"/>
          <w:bCs w:val="0"/>
          <w:kern w:val="0"/>
          <w:sz w:val="32"/>
          <w:szCs w:val="32"/>
          <w:lang w:val="en-US" w:eastAsia="zh-CN" w:bidi="ar"/>
        </w:rPr>
        <w:t>东盟人工智能跨境产业生态研究</w:t>
      </w:r>
    </w:p>
    <w:p w14:paraId="22C40E2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38.中国</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b w:val="0"/>
          <w:bCs w:val="0"/>
          <w:kern w:val="0"/>
          <w:sz w:val="32"/>
          <w:szCs w:val="32"/>
          <w:lang w:val="en-US" w:eastAsia="zh-CN" w:bidi="ar"/>
        </w:rPr>
        <w:t>东盟人工智能治理规则与伦理共识研究</w:t>
      </w:r>
    </w:p>
    <w:p w14:paraId="6B4C0D9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39.人工智能赋能中国</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b w:val="0"/>
          <w:bCs w:val="0"/>
          <w:kern w:val="0"/>
          <w:sz w:val="32"/>
          <w:szCs w:val="32"/>
          <w:lang w:val="en-US" w:eastAsia="zh-CN" w:bidi="ar"/>
        </w:rPr>
        <w:t>东盟跨境文化交流与传播研究</w:t>
      </w:r>
    </w:p>
    <w:p w14:paraId="05DA2A5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40.“人工智能+医疗”跨境合作模式研究</w:t>
      </w:r>
    </w:p>
    <w:p w14:paraId="0E10511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41.智慧农业AI技术面向东盟的适配与推广研究</w:t>
      </w:r>
    </w:p>
    <w:p w14:paraId="35D7238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42.中国</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b w:val="0"/>
          <w:bCs w:val="0"/>
          <w:kern w:val="0"/>
          <w:sz w:val="32"/>
          <w:szCs w:val="32"/>
          <w:lang w:val="en-US" w:eastAsia="zh-CN" w:bidi="ar"/>
        </w:rPr>
        <w:t>东盟跨境算力调度枢纽建设研究</w:t>
      </w:r>
    </w:p>
    <w:p w14:paraId="404A5A1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43.广西人工智能产业基金与投融资机制创新研究</w:t>
      </w:r>
    </w:p>
    <w:p w14:paraId="08EB851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44.中国</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b w:val="0"/>
          <w:bCs w:val="0"/>
          <w:kern w:val="0"/>
          <w:sz w:val="32"/>
          <w:szCs w:val="32"/>
          <w:lang w:val="en-US" w:eastAsia="zh-CN" w:bidi="ar"/>
        </w:rPr>
        <w:t>东盟AI人才跨境培养与流动机制研究</w:t>
      </w:r>
    </w:p>
    <w:p w14:paraId="1692831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b w:val="0"/>
          <w:bCs w:val="0"/>
          <w:kern w:val="0"/>
          <w:sz w:val="32"/>
          <w:szCs w:val="32"/>
          <w:lang w:val="en-US" w:eastAsia="zh-CN" w:bidi="ar"/>
        </w:rPr>
        <w:t>45.广西文旅产业的AI赋能推广研究</w:t>
      </w:r>
    </w:p>
    <w:p w14:paraId="18CFD86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46.广西推进算电协同研究</w:t>
      </w:r>
    </w:p>
    <w:p w14:paraId="40D6DC3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47.人工智能与工业互联网融合研究</w:t>
      </w:r>
    </w:p>
    <w:p w14:paraId="1DA697A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48.构建</w:t>
      </w:r>
      <w:r>
        <w:rPr>
          <w:rFonts w:hint="eastAsia" w:ascii="Times New Roman" w:hAnsi="Times New Roman" w:eastAsia="仿宋_GB2312" w:cs="Times New Roman"/>
          <w:kern w:val="0"/>
          <w:sz w:val="32"/>
          <w:szCs w:val="32"/>
          <w:lang w:val="en-US" w:eastAsia="zh-CN" w:bidi="ar"/>
        </w:rPr>
        <w:t>中国—东盟</w:t>
      </w:r>
      <w:r>
        <w:rPr>
          <w:rFonts w:hint="default" w:ascii="Times New Roman" w:hAnsi="Times New Roman" w:eastAsia="仿宋_GB2312" w:cs="Times New Roman"/>
          <w:kern w:val="0"/>
          <w:sz w:val="32"/>
          <w:szCs w:val="32"/>
          <w:lang w:val="en-US" w:eastAsia="zh-CN" w:bidi="ar"/>
        </w:rPr>
        <w:t>数据交易平台研究</w:t>
      </w:r>
    </w:p>
    <w:p w14:paraId="3E6CCB6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49.广西提升人工智能+制造应用场景研究</w:t>
      </w:r>
    </w:p>
    <w:p w14:paraId="76E3290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50.推动数据产业高质量发展研究</w:t>
      </w:r>
    </w:p>
    <w:p w14:paraId="3BBFB64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51.广西建设跨境算力交易平台研究</w:t>
      </w:r>
    </w:p>
    <w:p w14:paraId="49CAB93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52.打造科创广西先行试验区的若干措施研究</w:t>
      </w:r>
    </w:p>
    <w:p w14:paraId="365297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b w:val="0"/>
          <w:bCs w:val="0"/>
          <w:kern w:val="0"/>
          <w:sz w:val="32"/>
          <w:szCs w:val="32"/>
          <w:lang w:val="en-US" w:eastAsia="zh-CN" w:bidi="ar"/>
        </w:rPr>
      </w:pPr>
      <w:r>
        <w:rPr>
          <w:rFonts w:hint="default" w:ascii="Times New Roman" w:hAnsi="Times New Roman" w:eastAsia="黑体" w:cs="Times New Roman"/>
          <w:b w:val="0"/>
          <w:bCs w:val="0"/>
          <w:kern w:val="0"/>
          <w:sz w:val="32"/>
          <w:szCs w:val="32"/>
          <w:lang w:val="en-US" w:eastAsia="zh-CN" w:bidi="ar"/>
        </w:rPr>
        <w:t>四、对外开放与合作</w:t>
      </w:r>
    </w:p>
    <w:p w14:paraId="21391FC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53.中国</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东盟自贸区3.0版规则在广西的先行先试与压力测试研究</w:t>
      </w:r>
    </w:p>
    <w:p w14:paraId="31FD3F2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54.广西服务构建中国</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东盟超大市场的枢纽功能研究</w:t>
      </w:r>
    </w:p>
    <w:p w14:paraId="1669868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55.中国</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东盟跨境电商与数字贸易规则对接研究</w:t>
      </w:r>
    </w:p>
    <w:p w14:paraId="6A4FB24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56.面向东盟的“留学广西”品牌建设与教育质量提升研究</w:t>
      </w:r>
    </w:p>
    <w:p w14:paraId="2890842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57.中越跨境经济合作区“两国双园”模式创新研究</w:t>
      </w:r>
    </w:p>
    <w:p w14:paraId="3D21C19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58.中越边境智慧口岸建设与跨境物流效率提升研究</w:t>
      </w:r>
    </w:p>
    <w:p w14:paraId="708815D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59.中国</w:t>
      </w:r>
      <w:r>
        <w:rPr>
          <w:rFonts w:hint="eastAsia" w:ascii="Times New Roman" w:hAnsi="Times New Roman" w:eastAsia="仿宋_GB2312" w:cs="Times New Roman"/>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越南人工智能创新合作中心建设研究</w:t>
      </w:r>
    </w:p>
    <w:p w14:paraId="531214B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60.中越跨境电商与数字贸易规则对接研究</w:t>
      </w:r>
    </w:p>
    <w:p w14:paraId="5F13F18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61.中越新能源产业链合作提质升级研究</w:t>
      </w:r>
    </w:p>
    <w:p w14:paraId="57DB95F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62.广西服务构建中越命运共同体的制度型开放研究</w:t>
      </w:r>
    </w:p>
    <w:p w14:paraId="505D4D5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63.中越边境地区风险防控与韧性发展研究</w:t>
      </w:r>
    </w:p>
    <w:p w14:paraId="3AEF701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64.基于发展与安全协同诉求下中越边境地区国土空间治理途径研究</w:t>
      </w:r>
    </w:p>
    <w:p w14:paraId="764BDD7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65.广西沿边跨境产业合作模式创新研究</w:t>
      </w:r>
    </w:p>
    <w:p w14:paraId="4B9F603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66.广西县域主动对接融入粤港澳大湾区产业协同发展研究</w:t>
      </w:r>
    </w:p>
    <w:p w14:paraId="6D5DCB4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67.广西因地制宜发展边境特色优势产业研究</w:t>
      </w:r>
    </w:p>
    <w:p w14:paraId="3A5C59DE">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68.区域国别研究（自定选题及研究方向）</w:t>
      </w:r>
    </w:p>
    <w:p w14:paraId="722D4A2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69.国际形势与热点研究（自定选题及研究方向）</w:t>
      </w:r>
    </w:p>
    <w:p w14:paraId="71BFA23E">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70.中美关系研究（自定选题及研究方向）</w:t>
      </w:r>
    </w:p>
    <w:p w14:paraId="563153D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71.</w:t>
      </w:r>
      <w:r>
        <w:rPr>
          <w:rFonts w:hint="eastAsia" w:ascii="Times New Roman" w:hAnsi="Times New Roman" w:eastAsia="仿宋_GB2312" w:cs="Times New Roman"/>
          <w:kern w:val="0"/>
          <w:sz w:val="32"/>
          <w:szCs w:val="32"/>
          <w:lang w:val="en-US" w:eastAsia="zh-CN" w:bidi="ar"/>
        </w:rPr>
        <w:t>中国—东盟</w:t>
      </w:r>
      <w:r>
        <w:rPr>
          <w:rFonts w:hint="default" w:ascii="Times New Roman" w:hAnsi="Times New Roman" w:eastAsia="仿宋_GB2312" w:cs="Times New Roman"/>
          <w:kern w:val="0"/>
          <w:sz w:val="32"/>
          <w:szCs w:val="32"/>
          <w:lang w:val="en-US" w:eastAsia="zh-CN" w:bidi="ar"/>
        </w:rPr>
        <w:t>研究（自定选题及研究方向）</w:t>
      </w:r>
    </w:p>
    <w:p w14:paraId="1EF11A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b w:val="0"/>
          <w:bCs w:val="0"/>
          <w:kern w:val="0"/>
          <w:sz w:val="32"/>
          <w:szCs w:val="32"/>
          <w:lang w:val="en-US" w:eastAsia="zh-CN" w:bidi="ar"/>
        </w:rPr>
      </w:pPr>
      <w:r>
        <w:rPr>
          <w:rFonts w:hint="default" w:ascii="Times New Roman" w:hAnsi="Times New Roman" w:eastAsia="黑体" w:cs="Times New Roman"/>
          <w:b w:val="0"/>
          <w:bCs w:val="0"/>
          <w:kern w:val="0"/>
          <w:sz w:val="32"/>
          <w:szCs w:val="32"/>
          <w:lang w:val="en-US" w:eastAsia="zh-CN" w:bidi="ar"/>
        </w:rPr>
        <w:t>五、社会与文化建设</w:t>
      </w:r>
    </w:p>
    <w:p w14:paraId="4BEC71B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72.广西边境地区人口安全与稳边固边机制研究</w:t>
      </w:r>
    </w:p>
    <w:p w14:paraId="7FC6FE7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73.广西生育支持政策体系优化与托育服务高质量发展研究</w:t>
      </w:r>
    </w:p>
    <w:p w14:paraId="316DC80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74.广西面向东盟的人力资源合作与跨境劳务管理研究</w:t>
      </w:r>
    </w:p>
    <w:p w14:paraId="402660F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75.广西人口健康素质提升与公共卫生服务体系优化研究</w:t>
      </w:r>
    </w:p>
    <w:p w14:paraId="5473835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76.中国自主知识体系的构建与文化软实力提升研究</w:t>
      </w:r>
    </w:p>
    <w:p w14:paraId="5A72A7D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77.国际传播中的广西形象建构研究</w:t>
      </w:r>
    </w:p>
    <w:p w14:paraId="7BDA028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78.广西文旅融合高质量发展的路径与政策研究</w:t>
      </w:r>
    </w:p>
    <w:p w14:paraId="143E020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79.数智赋能广西国际形象构建研究</w:t>
      </w:r>
    </w:p>
    <w:p w14:paraId="7A58D09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80.数智赋能广西文化传承增强对外传播对策研究</w:t>
      </w:r>
    </w:p>
    <w:p w14:paraId="344481F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81.广西非遗数智化传承影响因素及优化路径研究</w:t>
      </w:r>
    </w:p>
    <w:p w14:paraId="0E7F145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82.高校重点群体毕业生就业现状调查及对策研究</w:t>
      </w:r>
    </w:p>
    <w:p w14:paraId="58A165C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83.教育数字化背景下高校学生生涯规划和创新创业教育模式研究</w:t>
      </w:r>
    </w:p>
    <w:p w14:paraId="58A5533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84.人工智能时代大学生就业创业意识与能力的培养研究</w:t>
      </w:r>
    </w:p>
    <w:p w14:paraId="4D1714B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85.广西高校毕业生就业与招生、培养联动机制研究</w:t>
      </w:r>
    </w:p>
    <w:p w14:paraId="5AB5D54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86.新时代“枫桥经验”在广西的应用与基层矛盾化解</w:t>
      </w:r>
    </w:p>
    <w:p w14:paraId="411E678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87.人工智能在基层矛盾化解中的应用研究</w:t>
      </w:r>
    </w:p>
    <w:p w14:paraId="2053BA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b w:val="0"/>
          <w:bCs w:val="0"/>
          <w:kern w:val="0"/>
          <w:sz w:val="32"/>
          <w:szCs w:val="32"/>
          <w:lang w:val="en-US" w:eastAsia="zh-CN" w:bidi="ar"/>
        </w:rPr>
      </w:pPr>
      <w:r>
        <w:rPr>
          <w:rFonts w:hint="default" w:ascii="Times New Roman" w:hAnsi="Times New Roman" w:eastAsia="黑体" w:cs="Times New Roman"/>
          <w:b w:val="0"/>
          <w:bCs w:val="0"/>
          <w:kern w:val="0"/>
          <w:sz w:val="32"/>
          <w:szCs w:val="32"/>
          <w:lang w:val="en-US" w:eastAsia="zh-CN" w:bidi="ar"/>
        </w:rPr>
        <w:t>88.自选选题</w:t>
      </w:r>
    </w:p>
    <w:p w14:paraId="377DF27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Chars="0" w:firstLine="640" w:firstLineChars="200"/>
        <w:jc w:val="left"/>
        <w:textAlignment w:val="auto"/>
        <w:rPr>
          <w:rFonts w:hint="default" w:ascii="Times New Roman" w:hAnsi="Times New Roman" w:eastAsia="仿宋_GB2312" w:cs="Times New Roman"/>
          <w:b w:val="0"/>
          <w:bCs/>
          <w:snapToGrid/>
          <w:color w:val="auto"/>
          <w:spacing w:val="0"/>
          <w:w w:val="100"/>
          <w:kern w:val="0"/>
          <w:position w:val="0"/>
          <w:sz w:val="32"/>
          <w:szCs w:val="32"/>
          <w:u w:val="none" w:color="auto"/>
          <w:vertAlign w:val="baseline"/>
          <w:lang w:val="en-US" w:eastAsia="zh-CN"/>
        </w:rPr>
      </w:pPr>
      <w:r>
        <w:rPr>
          <w:rFonts w:hint="default" w:ascii="Times New Roman" w:hAnsi="Times New Roman" w:eastAsia="仿宋_GB2312" w:cs="Times New Roman"/>
          <w:kern w:val="0"/>
          <w:sz w:val="32"/>
          <w:szCs w:val="32"/>
          <w:lang w:val="en-US" w:eastAsia="zh-CN" w:bidi="ar"/>
        </w:rPr>
        <w:t>文学、哲学、历史、政治、法学、马列、民族、社会、艺术、教育、经济、管理等各基础学科、交叉学科、冷门学科等可以自定选题。</w:t>
      </w:r>
      <w:r>
        <w:rPr>
          <w:rFonts w:hint="default" w:ascii="Times New Roman" w:hAnsi="Times New Roman" w:eastAsia="仿宋_GB2312" w:cs="Times New Roman"/>
          <w:b w:val="0"/>
          <w:bCs/>
          <w:snapToGrid/>
          <w:color w:val="auto"/>
          <w:spacing w:val="0"/>
          <w:w w:val="100"/>
          <w:kern w:val="0"/>
          <w:position w:val="0"/>
          <w:sz w:val="32"/>
          <w:szCs w:val="32"/>
          <w:u w:val="none" w:color="auto"/>
          <w:vertAlign w:val="baseline"/>
          <w:lang w:val="en-US" w:eastAsia="zh-CN"/>
        </w:rPr>
        <w:t>其他应用性选题在经过与自治区社科联沟通确认后，可以自定选题。</w:t>
      </w:r>
    </w:p>
    <w:p w14:paraId="5E18679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AF4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2026-03-22T08:58:45Z</dcterms:created>
  <dc:creator>Lenovo</dc:creator>
  <cp:lastModifiedBy>项婷婷</cp:lastModifiedBy>
  <dcterms:modified xsi:type="dcterms:W3CDTF">2026-03-22T09:00:20Z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eyJoZGlkIjoiNWQ2NDg2NzRhMDI0MzUzZTNiMjE4NzlkODJkOTYxYWYiLCJ1c2VySWQiOiI2NDI3NjQ4MDcifQ==</vt:lpwstr>
  </property>
  <property fmtid="{D5CDD505-2E9C-101B-9397-08002B2CF9AE}" pid="4" name="ICV">
    <vt:lpwstr>6ED9584AF99A46E5BBFA8C8A5D574062_12</vt:lpwstr>
  </property>
</Properties>
</file>